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917C61" w:rsidP="004F7B6D">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117B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5F239A" w:rsidP="00A032B6">
      <w:pPr>
        <w:ind w:left="-181"/>
        <w:jc w:val="center"/>
        <w:rPr>
          <w:b/>
        </w:rPr>
      </w:pPr>
      <w:r>
        <w:rPr>
          <w:b/>
        </w:rPr>
        <w:t>об оставлении</w:t>
      </w:r>
      <w:r w:rsidR="00510F27">
        <w:rPr>
          <w:b/>
        </w:rPr>
        <w:t xml:space="preserve"> </w:t>
      </w:r>
      <w:r>
        <w:rPr>
          <w:b/>
        </w:rPr>
        <w:t>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5A20ED">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5A20ED">
              <w:rPr>
                <w:rFonts w:eastAsia="Calibri"/>
                <w:sz w:val="20"/>
                <w:szCs w:val="20"/>
                <w:u w:val="single"/>
              </w:rPr>
              <w:t>29</w:t>
            </w:r>
            <w:r w:rsidR="00C25D86">
              <w:rPr>
                <w:rFonts w:eastAsia="Calibri"/>
                <w:sz w:val="20"/>
                <w:szCs w:val="20"/>
                <w:u w:val="single"/>
              </w:rPr>
              <w:t xml:space="preserve">   </w:t>
            </w:r>
            <w:r w:rsidRPr="00C1131C">
              <w:rPr>
                <w:rFonts w:eastAsia="Calibri"/>
                <w:sz w:val="20"/>
                <w:szCs w:val="20"/>
              </w:rPr>
              <w:t>»</w:t>
            </w:r>
            <w:r w:rsidR="00C121BA">
              <w:rPr>
                <w:rFonts w:eastAsia="Calibri"/>
                <w:sz w:val="20"/>
                <w:szCs w:val="20"/>
                <w:u w:val="single"/>
              </w:rPr>
              <w:t xml:space="preserve">   </w:t>
            </w:r>
            <w:r w:rsidR="00C25D86">
              <w:rPr>
                <w:rFonts w:eastAsia="Calibri"/>
                <w:sz w:val="20"/>
                <w:szCs w:val="20"/>
                <w:u w:val="single"/>
              </w:rPr>
              <w:t xml:space="preserve"> </w:t>
            </w:r>
            <w:r w:rsidR="005A20ED">
              <w:rPr>
                <w:rFonts w:eastAsia="Calibri"/>
                <w:sz w:val="20"/>
                <w:szCs w:val="20"/>
                <w:u w:val="single"/>
              </w:rPr>
              <w:t>июля</w:t>
            </w:r>
            <w:r w:rsidR="00C25D86">
              <w:rPr>
                <w:rFonts w:eastAsia="Calibri"/>
                <w:sz w:val="20"/>
                <w:szCs w:val="20"/>
                <w:u w:val="single"/>
              </w:rPr>
              <w:t xml:space="preserve">    20</w:t>
            </w:r>
            <w:r w:rsidR="00E63812">
              <w:rPr>
                <w:rFonts w:eastAsia="Calibri"/>
                <w:sz w:val="20"/>
                <w:szCs w:val="20"/>
                <w:u w:val="single"/>
              </w:rPr>
              <w:t xml:space="preserve"> </w:t>
            </w:r>
            <w:r w:rsidR="00011658">
              <w:rPr>
                <w:rFonts w:eastAsia="Calibri"/>
                <w:sz w:val="20"/>
                <w:szCs w:val="20"/>
                <w:u w:val="single"/>
              </w:rPr>
              <w:t>2</w:t>
            </w:r>
            <w:r w:rsidR="00E63812">
              <w:rPr>
                <w:rFonts w:eastAsia="Calibri"/>
                <w:sz w:val="20"/>
                <w:szCs w:val="20"/>
                <w:u w:val="single"/>
              </w:rPr>
              <w:t>1</w:t>
            </w:r>
            <w:r w:rsidR="00C25D86">
              <w:rPr>
                <w:rFonts w:eastAsia="Calibri"/>
                <w:sz w:val="20"/>
                <w:szCs w:val="20"/>
                <w:u w:val="single"/>
              </w:rPr>
              <w:t xml:space="preserve"> г. </w:t>
            </w:r>
          </w:p>
        </w:tc>
        <w:tc>
          <w:tcPr>
            <w:tcW w:w="4971" w:type="dxa"/>
            <w:gridSpan w:val="3"/>
          </w:tcPr>
          <w:p w:rsidR="00435D1A" w:rsidRPr="00C1131C" w:rsidRDefault="00435D1A" w:rsidP="00E63812">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121BA">
              <w:rPr>
                <w:rFonts w:eastAsia="Calibri"/>
                <w:sz w:val="20"/>
                <w:szCs w:val="20"/>
                <w:u w:val="single"/>
              </w:rPr>
              <w:t xml:space="preserve">   </w:t>
            </w:r>
            <w:r w:rsidR="005A20ED">
              <w:rPr>
                <w:rFonts w:eastAsia="Calibri"/>
                <w:sz w:val="20"/>
                <w:szCs w:val="20"/>
                <w:u w:val="single"/>
              </w:rPr>
              <w:t>570</w:t>
            </w:r>
            <w:r w:rsidR="00C25D86">
              <w:rPr>
                <w:rFonts w:eastAsia="Calibri"/>
                <w:sz w:val="20"/>
                <w:szCs w:val="20"/>
                <w:u w:val="single"/>
              </w:rPr>
              <w:t>/</w:t>
            </w:r>
            <w:r w:rsidR="00011658">
              <w:rPr>
                <w:rFonts w:eastAsia="Calibri"/>
                <w:sz w:val="20"/>
                <w:szCs w:val="20"/>
                <w:u w:val="single"/>
              </w:rPr>
              <w:t>2</w:t>
            </w:r>
            <w:r w:rsidR="00E63812">
              <w:rPr>
                <w:rFonts w:eastAsia="Calibri"/>
                <w:sz w:val="20"/>
                <w:szCs w:val="20"/>
                <w:u w:val="single"/>
              </w:rPr>
              <w:t>1</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121BA" w:rsidRDefault="00C121BA" w:rsidP="00510F27">
      <w:pPr>
        <w:tabs>
          <w:tab w:val="left" w:pos="567"/>
        </w:tabs>
        <w:ind w:firstLine="567"/>
        <w:jc w:val="both"/>
        <w:outlineLvl w:val="0"/>
      </w:pPr>
      <w:r w:rsidRPr="00416A43">
        <w:t xml:space="preserve">Арбитражный суд Приднестровской Молдавской Республики в составе судьи </w:t>
      </w:r>
      <w:r w:rsidRPr="00416A43">
        <w:br/>
        <w:t xml:space="preserve">Т. И. </w:t>
      </w:r>
      <w:proofErr w:type="spellStart"/>
      <w:r w:rsidRPr="00416A43">
        <w:t>Цыганаш</w:t>
      </w:r>
      <w:proofErr w:type="spellEnd"/>
      <w:r w:rsidRPr="00416A43">
        <w:t>, рассм</w:t>
      </w:r>
      <w:r w:rsidR="00802FBF">
        <w:t>отрев</w:t>
      </w:r>
      <w:r w:rsidRPr="00416A43">
        <w:t xml:space="preserve"> вопрос о принятии к производству</w:t>
      </w:r>
      <w:r w:rsidR="00510F27">
        <w:t xml:space="preserve"> </w:t>
      </w:r>
      <w:r w:rsidRPr="00416A43">
        <w:t xml:space="preserve">заявления </w:t>
      </w:r>
      <w:r w:rsidR="005A20ED">
        <w:t xml:space="preserve">Прокурора г. </w:t>
      </w:r>
      <w:r w:rsidR="001F65AA">
        <w:t xml:space="preserve">г. </w:t>
      </w:r>
      <w:proofErr w:type="spellStart"/>
      <w:r w:rsidR="001F65AA">
        <w:t>Слободзея</w:t>
      </w:r>
      <w:proofErr w:type="spellEnd"/>
      <w:r w:rsidR="001F65AA">
        <w:t xml:space="preserve"> и </w:t>
      </w:r>
      <w:proofErr w:type="spellStart"/>
      <w:r w:rsidR="001F65AA">
        <w:t>Слободзейского</w:t>
      </w:r>
      <w:proofErr w:type="spellEnd"/>
      <w:r w:rsidR="001F65AA">
        <w:t xml:space="preserve"> района (</w:t>
      </w:r>
      <w:proofErr w:type="spellStart"/>
      <w:r w:rsidR="001F65AA">
        <w:t>г</w:t>
      </w:r>
      <w:proofErr w:type="gramStart"/>
      <w:r w:rsidR="001F65AA">
        <w:t>.С</w:t>
      </w:r>
      <w:proofErr w:type="gramEnd"/>
      <w:r w:rsidR="001F65AA">
        <w:t>лободзея</w:t>
      </w:r>
      <w:proofErr w:type="spellEnd"/>
      <w:r w:rsidR="001F65AA">
        <w:t xml:space="preserve">, ул. Фрунзе, д. 27) о привлечении к административной ответственности </w:t>
      </w:r>
      <w:r w:rsidR="006F2145">
        <w:t xml:space="preserve">по пункту 3 статьи 14.25 </w:t>
      </w:r>
      <w:proofErr w:type="spellStart"/>
      <w:r w:rsidR="006F2145">
        <w:t>КоАП</w:t>
      </w:r>
      <w:proofErr w:type="spellEnd"/>
      <w:r w:rsidR="006F2145">
        <w:t xml:space="preserve"> ПМР </w:t>
      </w:r>
      <w:r w:rsidR="001F65AA">
        <w:t>индивидуального предпринимателя без образования  С.И. Осипова (г. Тирасполь, ул. Комарова, д. 5, кв.126</w:t>
      </w:r>
      <w:r w:rsidR="001F65AA" w:rsidRPr="006F2145">
        <w:t>)</w:t>
      </w:r>
      <w:r w:rsidRPr="006F2145">
        <w:t>, и изучив приложенные к нему документы,</w:t>
      </w:r>
    </w:p>
    <w:p w:rsidR="00C121BA" w:rsidRPr="00416A43" w:rsidRDefault="00C121BA" w:rsidP="00C121BA">
      <w:pPr>
        <w:ind w:firstLine="720"/>
        <w:jc w:val="both"/>
        <w:rPr>
          <w:b/>
        </w:rPr>
      </w:pPr>
    </w:p>
    <w:p w:rsidR="00C121BA" w:rsidRDefault="00C121BA" w:rsidP="008321C0">
      <w:pPr>
        <w:jc w:val="center"/>
        <w:rPr>
          <w:b/>
        </w:rPr>
      </w:pPr>
      <w:r w:rsidRPr="00416A43">
        <w:rPr>
          <w:b/>
        </w:rPr>
        <w:t>У С Т А Н О В И Л:</w:t>
      </w:r>
    </w:p>
    <w:p w:rsidR="006563D2" w:rsidRDefault="006563D2" w:rsidP="008321C0">
      <w:pPr>
        <w:jc w:val="center"/>
        <w:rPr>
          <w:b/>
        </w:rPr>
      </w:pPr>
    </w:p>
    <w:p w:rsidR="004C4E5E" w:rsidRPr="001B3BC4" w:rsidRDefault="004C4E5E" w:rsidP="004C4E5E">
      <w:pPr>
        <w:jc w:val="both"/>
      </w:pPr>
      <w:r w:rsidRPr="001B3BC4">
        <w:t xml:space="preserve">несоответствие поданного </w:t>
      </w:r>
      <w:r w:rsidR="00E16080">
        <w:t>з</w:t>
      </w:r>
      <w:r w:rsidRPr="001B3BC4">
        <w:t xml:space="preserve">аявления </w:t>
      </w:r>
      <w:r w:rsidR="006F2145">
        <w:t>требованиям</w:t>
      </w:r>
      <w:r w:rsidRPr="001B3BC4">
        <w:t xml:space="preserve"> Арбитражного процессуального кодекса Приднестровской Молдавской Республики (далее - АПК ПМР).</w:t>
      </w:r>
    </w:p>
    <w:p w:rsidR="006F2145" w:rsidRDefault="004C4E5E" w:rsidP="004C4E5E">
      <w:pPr>
        <w:ind w:firstLine="567"/>
        <w:jc w:val="both"/>
      </w:pPr>
      <w:r w:rsidRPr="001B3BC4">
        <w:t xml:space="preserve">В силу </w:t>
      </w:r>
      <w:r w:rsidRPr="008C615A">
        <w:t>пункта 1 статьи 95 АПК ПМР судья обязан принять к производству арбитражного суда исковое заявление</w:t>
      </w:r>
      <w:r w:rsidR="0099693C" w:rsidRPr="008C615A">
        <w:t xml:space="preserve"> (заявление)</w:t>
      </w:r>
      <w:r w:rsidRPr="008C615A">
        <w:t>, поданное соблюдением требований, предъявляемых Арбитражным процессуальным кодексом к его форме и содержанию.</w:t>
      </w:r>
      <w:r w:rsidR="006F2145">
        <w:t xml:space="preserve"> Требования к заявлению о привлечении к административной ответственности установлены статьей 130-15 АПК ПМР с учетом соблюдения ст.ст. 91-93 АПК ПМР, в нарушение которых:</w:t>
      </w:r>
    </w:p>
    <w:p w:rsidR="006F2145" w:rsidRDefault="006F2145" w:rsidP="004C4E5E">
      <w:pPr>
        <w:ind w:firstLine="567"/>
        <w:jc w:val="both"/>
      </w:pPr>
      <w:r>
        <w:t>1. К заявлению не приложены доказательства, на которых основаны требования, как-то: основания проведения проверки, решение Арбитражного суда ПМР № 1260/16-06, судебный акт, которым С.И. Осипов назначен конкурсным управляющим ЗАО «</w:t>
      </w:r>
      <w:proofErr w:type="spellStart"/>
      <w:proofErr w:type="gramStart"/>
      <w:r>
        <w:t>Текстиль-групп</w:t>
      </w:r>
      <w:proofErr w:type="spellEnd"/>
      <w:proofErr w:type="gramEnd"/>
      <w:r>
        <w:t>»</w:t>
      </w:r>
      <w:r w:rsidRPr="006F2145">
        <w:t xml:space="preserve"> </w:t>
      </w:r>
      <w:r>
        <w:t xml:space="preserve">(подпункт </w:t>
      </w:r>
      <w:proofErr w:type="spellStart"/>
      <w:r>
        <w:t>д</w:t>
      </w:r>
      <w:proofErr w:type="spellEnd"/>
      <w:r>
        <w:t>) пункта 2 статьи 91 АПК ПМР в корреспонденции с подпунктом г) части первой статьи 93 АПК ПМР).</w:t>
      </w:r>
    </w:p>
    <w:p w:rsidR="006F2145" w:rsidRDefault="006F2145" w:rsidP="004C4E5E">
      <w:pPr>
        <w:ind w:firstLine="567"/>
        <w:jc w:val="both"/>
      </w:pPr>
      <w:r>
        <w:t xml:space="preserve">2. </w:t>
      </w:r>
      <w:proofErr w:type="gramStart"/>
      <w:r>
        <w:t>В заявлении отсутствует обоснование государственного или общественного интереса при обращении прокурора (подпункте) пункта 2 статьи 91 АПК ПМР)</w:t>
      </w:r>
      <w:proofErr w:type="gramEnd"/>
    </w:p>
    <w:p w:rsidR="006F2145" w:rsidRDefault="006F2145" w:rsidP="004C4E5E">
      <w:pPr>
        <w:ind w:firstLine="567"/>
        <w:jc w:val="both"/>
      </w:pPr>
      <w:r>
        <w:t>3. К заявлению не приложен текст на электронном носителе (часть четвертая статьи 93 АПК ПМР).</w:t>
      </w:r>
    </w:p>
    <w:p w:rsidR="006F2145" w:rsidRDefault="006F2145" w:rsidP="004C4E5E">
      <w:pPr>
        <w:ind w:firstLine="567"/>
        <w:jc w:val="both"/>
      </w:pPr>
      <w:r>
        <w:t>4. Заявителем в основании заявления соединены 10 событий, связанных с неисполнением обязанностей конкурсного управляющего С.И. Осипова</w:t>
      </w:r>
      <w:r w:rsidR="002108F8">
        <w:t xml:space="preserve"> требований Закона ПМР «О несостоятельности (банкротстве)»</w:t>
      </w:r>
      <w:r>
        <w:t>:</w:t>
      </w:r>
    </w:p>
    <w:p w:rsidR="006F2145" w:rsidRDefault="006F2145" w:rsidP="004C4E5E">
      <w:pPr>
        <w:ind w:firstLine="567"/>
        <w:jc w:val="both"/>
      </w:pPr>
      <w:r>
        <w:t xml:space="preserve">1) </w:t>
      </w:r>
      <w:proofErr w:type="spellStart"/>
      <w:r>
        <w:t>непроведение</w:t>
      </w:r>
      <w:proofErr w:type="spellEnd"/>
      <w:r>
        <w:t xml:space="preserve"> инвентаризации имущества в период с 29 мая 2018 года по 18 июня 2021 года, </w:t>
      </w:r>
    </w:p>
    <w:p w:rsidR="006F2145" w:rsidRDefault="006F2145" w:rsidP="004C4E5E">
      <w:pPr>
        <w:ind w:firstLine="567"/>
        <w:jc w:val="both"/>
      </w:pPr>
      <w:r>
        <w:lastRenderedPageBreak/>
        <w:t xml:space="preserve">2) непредставление собранию кредиторов отчета в августе 2020 года, </w:t>
      </w:r>
    </w:p>
    <w:p w:rsidR="002108F8" w:rsidRDefault="002108F8" w:rsidP="002108F8">
      <w:pPr>
        <w:ind w:firstLine="567"/>
        <w:jc w:val="both"/>
      </w:pPr>
      <w:r>
        <w:t xml:space="preserve">3) непредставление собранию кредиторов отчета в сентябре 2020 года, </w:t>
      </w:r>
    </w:p>
    <w:p w:rsidR="002108F8" w:rsidRDefault="002108F8" w:rsidP="002108F8">
      <w:pPr>
        <w:ind w:firstLine="567"/>
        <w:jc w:val="both"/>
      </w:pPr>
      <w:r>
        <w:t xml:space="preserve">4) непредставление собранию кредиторов отчета в октябре 2020 года, </w:t>
      </w:r>
    </w:p>
    <w:p w:rsidR="002108F8" w:rsidRDefault="002108F8" w:rsidP="002108F8">
      <w:pPr>
        <w:ind w:firstLine="567"/>
        <w:jc w:val="both"/>
      </w:pPr>
      <w:r>
        <w:t xml:space="preserve">5) непредставление собранию кредиторов отчета в ноябре 2020 года, </w:t>
      </w:r>
    </w:p>
    <w:p w:rsidR="002108F8" w:rsidRDefault="002108F8" w:rsidP="002108F8">
      <w:pPr>
        <w:ind w:firstLine="567"/>
        <w:jc w:val="both"/>
      </w:pPr>
      <w:r>
        <w:t xml:space="preserve">6) непредставление собранию кредиторов отчета в декабре 2020 года, </w:t>
      </w:r>
    </w:p>
    <w:p w:rsidR="002108F8" w:rsidRDefault="002108F8" w:rsidP="002108F8">
      <w:pPr>
        <w:ind w:firstLine="567"/>
        <w:jc w:val="both"/>
      </w:pPr>
      <w:r>
        <w:t xml:space="preserve">7) непредставление собранию кредиторов отчета в январе 2021 года, </w:t>
      </w:r>
    </w:p>
    <w:p w:rsidR="002108F8" w:rsidRDefault="002108F8" w:rsidP="002108F8">
      <w:pPr>
        <w:ind w:firstLine="567"/>
        <w:jc w:val="both"/>
      </w:pPr>
      <w:r>
        <w:t xml:space="preserve">8) непредставление собранию кредиторов отчета в феврале 2021 года, </w:t>
      </w:r>
    </w:p>
    <w:p w:rsidR="002108F8" w:rsidRDefault="002108F8" w:rsidP="002108F8">
      <w:pPr>
        <w:ind w:firstLine="567"/>
        <w:jc w:val="both"/>
      </w:pPr>
      <w:r>
        <w:t xml:space="preserve">9) непредставление собранию кредиторов отчета в марте 2021 года, </w:t>
      </w:r>
    </w:p>
    <w:p w:rsidR="002108F8" w:rsidRDefault="002108F8" w:rsidP="002108F8">
      <w:pPr>
        <w:ind w:firstLine="567"/>
        <w:jc w:val="both"/>
      </w:pPr>
      <w:r>
        <w:t>10) непредставление собранию кредиторов отчета в апреле 2021 года.</w:t>
      </w:r>
    </w:p>
    <w:p w:rsidR="002108F8" w:rsidRDefault="002108F8" w:rsidP="002108F8">
      <w:pPr>
        <w:ind w:firstLine="567"/>
        <w:jc w:val="both"/>
      </w:pPr>
      <w:r>
        <w:t xml:space="preserve">Вместе с тем в нарушение подпункта </w:t>
      </w:r>
      <w:proofErr w:type="spellStart"/>
      <w:r>
        <w:t>д</w:t>
      </w:r>
      <w:proofErr w:type="spellEnd"/>
      <w:r>
        <w:t xml:space="preserve">) пункта 1 статьи 130-15 АПК ПМР заявителем не учтены положения пункта 1 статьи 4.4 </w:t>
      </w:r>
      <w:proofErr w:type="spellStart"/>
      <w:r>
        <w:t>КоАП</w:t>
      </w:r>
      <w:proofErr w:type="spellEnd"/>
      <w:r>
        <w:t xml:space="preserve"> ПМР, поскольку при совершении двух и более правонарушений административное наказание назначается за каждое наказание.</w:t>
      </w:r>
    </w:p>
    <w:p w:rsidR="002108F8" w:rsidRDefault="002108F8" w:rsidP="002108F8">
      <w:pPr>
        <w:ind w:firstLine="567"/>
        <w:jc w:val="both"/>
      </w:pPr>
      <w:r>
        <w:t>5. В заявлении не указаны: должность, фамилия и инициалы прокурора, вынесшего постановление о возбуждении производства об административном правонарушении (подпункт б) пункта 1 статьи 130-15 АПК ПМР);</w:t>
      </w:r>
    </w:p>
    <w:p w:rsidR="00257178" w:rsidRPr="00B66737" w:rsidRDefault="00257178" w:rsidP="00257178">
      <w:pPr>
        <w:ind w:firstLine="720"/>
        <w:jc w:val="both"/>
      </w:pPr>
      <w:proofErr w:type="gramStart"/>
      <w:r w:rsidRPr="00B66737">
        <w:t>Частью первой статьи 96-1 АПК ПМР установлено, что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 92 и 93 Кодекса, либо с нарушением иных требований, установленных Кодексом к исковому заявлению (заявлению), выносит определение об оставлении заявления без движения.</w:t>
      </w:r>
      <w:proofErr w:type="gramEnd"/>
      <w:r w:rsidRPr="00B66737">
        <w:t xml:space="preserve"> Установленные судом нарушения процессуального закона являются основанием для оставления поданного заявления без движения.</w:t>
      </w:r>
      <w:r w:rsidR="00092D0B">
        <w:t xml:space="preserve"> </w:t>
      </w:r>
    </w:p>
    <w:p w:rsidR="00257178" w:rsidRPr="00B66737" w:rsidRDefault="00257178" w:rsidP="00257178">
      <w:pPr>
        <w:ind w:firstLine="709"/>
        <w:jc w:val="both"/>
      </w:pPr>
      <w:r w:rsidRPr="00B66737">
        <w:t>Арбитражный суд Приднестровской Молдавской Республики, руководствуясь статьями 96-1, 128</w:t>
      </w:r>
      <w:r w:rsidR="00857EA8">
        <w:t>, 130-</w:t>
      </w:r>
      <w:r w:rsidR="008C615A">
        <w:t>20</w:t>
      </w:r>
      <w:r w:rsidRPr="00B66737">
        <w:t xml:space="preserve"> АПК ПМР,</w:t>
      </w:r>
    </w:p>
    <w:p w:rsidR="00C121BA" w:rsidRPr="00416A43" w:rsidRDefault="00C121BA" w:rsidP="00C121BA">
      <w:pPr>
        <w:ind w:firstLine="720"/>
        <w:jc w:val="center"/>
        <w:outlineLvl w:val="0"/>
        <w:rPr>
          <w:b/>
        </w:rPr>
      </w:pPr>
    </w:p>
    <w:p w:rsidR="00C121BA" w:rsidRPr="00416A43" w:rsidRDefault="00C121BA" w:rsidP="00C121BA">
      <w:pPr>
        <w:ind w:firstLine="720"/>
        <w:jc w:val="center"/>
        <w:outlineLvl w:val="0"/>
        <w:rPr>
          <w:b/>
        </w:rPr>
      </w:pPr>
      <w:r w:rsidRPr="00416A43">
        <w:rPr>
          <w:b/>
        </w:rPr>
        <w:t xml:space="preserve">О </w:t>
      </w:r>
      <w:proofErr w:type="gramStart"/>
      <w:r w:rsidRPr="00416A43">
        <w:rPr>
          <w:b/>
        </w:rPr>
        <w:t>П</w:t>
      </w:r>
      <w:proofErr w:type="gramEnd"/>
      <w:r w:rsidRPr="00416A43">
        <w:rPr>
          <w:b/>
        </w:rPr>
        <w:t xml:space="preserve"> Р Е Д Е Л И Л:</w:t>
      </w:r>
    </w:p>
    <w:p w:rsidR="00C121BA" w:rsidRPr="00416A43" w:rsidRDefault="00C121BA" w:rsidP="00C121BA">
      <w:pPr>
        <w:ind w:firstLine="720"/>
        <w:jc w:val="center"/>
        <w:outlineLvl w:val="0"/>
        <w:rPr>
          <w:b/>
        </w:rPr>
      </w:pPr>
    </w:p>
    <w:p w:rsidR="00C121BA" w:rsidRPr="00416A43" w:rsidRDefault="002108F8" w:rsidP="00C121BA">
      <w:pPr>
        <w:numPr>
          <w:ilvl w:val="0"/>
          <w:numId w:val="5"/>
        </w:numPr>
        <w:ind w:left="0" w:firstLine="709"/>
        <w:jc w:val="both"/>
      </w:pPr>
      <w:r>
        <w:t xml:space="preserve">Заявление Прокурора </w:t>
      </w:r>
      <w:proofErr w:type="gramStart"/>
      <w:r>
        <w:t>г</w:t>
      </w:r>
      <w:proofErr w:type="gramEnd"/>
      <w:r>
        <w:t xml:space="preserve">. г. </w:t>
      </w:r>
      <w:proofErr w:type="spellStart"/>
      <w:r>
        <w:t>Слободзея</w:t>
      </w:r>
      <w:proofErr w:type="spellEnd"/>
      <w:r>
        <w:t xml:space="preserve"> и </w:t>
      </w:r>
      <w:proofErr w:type="spellStart"/>
      <w:r>
        <w:t>Слободзейского</w:t>
      </w:r>
      <w:proofErr w:type="spellEnd"/>
      <w:r>
        <w:t xml:space="preserve"> района о привлечении к административной ответственности по пункту 3 статьи 14.25 </w:t>
      </w:r>
      <w:proofErr w:type="spellStart"/>
      <w:r>
        <w:t>КоАП</w:t>
      </w:r>
      <w:proofErr w:type="spellEnd"/>
      <w:r>
        <w:t xml:space="preserve"> ПМР индивидуального предпринимателя без образования  С.И. Осипова </w:t>
      </w:r>
      <w:r w:rsidR="00C121BA" w:rsidRPr="00416A43">
        <w:t>оставить без движения.</w:t>
      </w:r>
    </w:p>
    <w:p w:rsidR="00C121BA" w:rsidRPr="00416A43" w:rsidRDefault="00C121BA" w:rsidP="00C121BA">
      <w:pPr>
        <w:numPr>
          <w:ilvl w:val="0"/>
          <w:numId w:val="5"/>
        </w:numPr>
        <w:ind w:left="0" w:firstLine="709"/>
        <w:jc w:val="both"/>
      </w:pPr>
      <w:r w:rsidRPr="00416A43">
        <w:t xml:space="preserve">Предложить в срок </w:t>
      </w:r>
      <w:r w:rsidRPr="00826DEA">
        <w:rPr>
          <w:b/>
        </w:rPr>
        <w:t xml:space="preserve">до </w:t>
      </w:r>
      <w:r w:rsidR="002108F8">
        <w:rPr>
          <w:b/>
        </w:rPr>
        <w:t>17 сентября</w:t>
      </w:r>
      <w:r w:rsidR="008C615A">
        <w:rPr>
          <w:b/>
        </w:rPr>
        <w:t xml:space="preserve"> 2021</w:t>
      </w:r>
      <w:r w:rsidRPr="00826DEA">
        <w:rPr>
          <w:b/>
        </w:rPr>
        <w:t xml:space="preserve"> года включительно</w:t>
      </w:r>
      <w:r w:rsidRPr="00416A43">
        <w:t xml:space="preserve"> устранить допущенные нарушения Арбитражного процессуального кодекса Приднестровской Молдавской Республики</w:t>
      </w:r>
      <w:r w:rsidR="00626F47">
        <w:t>, обеспечив поступление соответствующего заявления с приложенными документами к установленному сроку в Арбитражный суд</w:t>
      </w:r>
      <w:r w:rsidRPr="00416A43">
        <w:t>.</w:t>
      </w:r>
    </w:p>
    <w:p w:rsidR="00C121BA" w:rsidRPr="00416A43" w:rsidRDefault="00C121BA" w:rsidP="00C121BA">
      <w:pPr>
        <w:numPr>
          <w:ilvl w:val="0"/>
          <w:numId w:val="5"/>
        </w:numPr>
        <w:ind w:left="0" w:firstLine="709"/>
        <w:jc w:val="both"/>
      </w:pPr>
      <w:r w:rsidRPr="00416A43">
        <w:t>Разъяснить, 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C121BA" w:rsidRPr="00416A43" w:rsidRDefault="00C121BA" w:rsidP="00C121BA">
      <w:pPr>
        <w:ind w:left="709"/>
        <w:jc w:val="both"/>
        <w:outlineLvl w:val="0"/>
      </w:pPr>
    </w:p>
    <w:p w:rsidR="00C121BA" w:rsidRPr="00416A43" w:rsidRDefault="00C121BA" w:rsidP="00C121BA">
      <w:pPr>
        <w:ind w:left="709"/>
        <w:jc w:val="both"/>
        <w:outlineLvl w:val="0"/>
      </w:pPr>
      <w:r w:rsidRPr="00416A43">
        <w:t xml:space="preserve">Определение не обжалуется. </w:t>
      </w:r>
    </w:p>
    <w:p w:rsidR="00C121BA" w:rsidRPr="00416A43" w:rsidRDefault="00C121BA" w:rsidP="00EC70F8">
      <w:pPr>
        <w:jc w:val="both"/>
      </w:pPr>
    </w:p>
    <w:p w:rsidR="00C121BA" w:rsidRPr="00416A43" w:rsidRDefault="00C121BA" w:rsidP="00C121BA">
      <w:pPr>
        <w:jc w:val="both"/>
        <w:outlineLvl w:val="0"/>
        <w:rPr>
          <w:b/>
        </w:rPr>
      </w:pPr>
      <w:r w:rsidRPr="00416A43">
        <w:rPr>
          <w:b/>
        </w:rPr>
        <w:t xml:space="preserve">Судья Арбитражного суда </w:t>
      </w:r>
    </w:p>
    <w:p w:rsidR="00C121BA" w:rsidRPr="00416A43" w:rsidRDefault="00C121BA" w:rsidP="00C121BA">
      <w:pPr>
        <w:jc w:val="both"/>
        <w:rPr>
          <w:b/>
        </w:rPr>
      </w:pPr>
      <w:r w:rsidRPr="00416A43">
        <w:rPr>
          <w:b/>
        </w:rPr>
        <w:t xml:space="preserve">Приднестровской Молдавской Республики   </w:t>
      </w:r>
      <w:r>
        <w:rPr>
          <w:b/>
        </w:rPr>
        <w:t xml:space="preserve">                           </w:t>
      </w:r>
      <w:r w:rsidRPr="00416A43">
        <w:rPr>
          <w:b/>
        </w:rPr>
        <w:t xml:space="preserve">                 Т. И. </w:t>
      </w:r>
      <w:proofErr w:type="spellStart"/>
      <w:r w:rsidRPr="00416A43">
        <w:rPr>
          <w:b/>
        </w:rPr>
        <w:t>Цыганаш</w:t>
      </w:r>
      <w:proofErr w:type="spellEnd"/>
      <w:r w:rsidRPr="00416A43">
        <w:rPr>
          <w:b/>
        </w:rPr>
        <w:t xml:space="preserve"> </w:t>
      </w:r>
    </w:p>
    <w:p w:rsidR="00E265BC" w:rsidRDefault="00E265BC" w:rsidP="00C121BA">
      <w:pPr>
        <w:ind w:firstLine="720"/>
        <w:jc w:val="both"/>
        <w:rPr>
          <w:sz w:val="28"/>
          <w:szCs w:val="28"/>
        </w:rPr>
      </w:pPr>
    </w:p>
    <w:sectPr w:rsidR="00E265BC" w:rsidSect="00C121BA">
      <w:footerReference w:type="default" r:id="rId8"/>
      <w:pgSz w:w="11906" w:h="16838"/>
      <w:pgMar w:top="1440"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18F" w:rsidRDefault="00CE418F" w:rsidP="00747910">
      <w:r>
        <w:separator/>
      </w:r>
    </w:p>
  </w:endnote>
  <w:endnote w:type="continuationSeparator" w:id="1">
    <w:p w:rsidR="00CE418F" w:rsidRDefault="00CE418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C0" w:rsidRDefault="009117B6">
    <w:pPr>
      <w:pStyle w:val="a7"/>
      <w:jc w:val="right"/>
    </w:pPr>
    <w:fldSimple w:instr=" PAGE   \* MERGEFORMAT ">
      <w:r w:rsidR="002108F8">
        <w:rPr>
          <w:noProof/>
        </w:rPr>
        <w:t>2</w:t>
      </w:r>
    </w:fldSimple>
  </w:p>
  <w:p w:rsidR="001060C0" w:rsidRDefault="001060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18F" w:rsidRDefault="00CE418F" w:rsidP="00747910">
      <w:r>
        <w:separator/>
      </w:r>
    </w:p>
  </w:footnote>
  <w:footnote w:type="continuationSeparator" w:id="1">
    <w:p w:rsidR="00CE418F" w:rsidRDefault="00CE418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11658"/>
    <w:rsid w:val="000400F3"/>
    <w:rsid w:val="000604C4"/>
    <w:rsid w:val="00081B5A"/>
    <w:rsid w:val="00092D0B"/>
    <w:rsid w:val="000C4195"/>
    <w:rsid w:val="000C512D"/>
    <w:rsid w:val="000C64A5"/>
    <w:rsid w:val="000E2672"/>
    <w:rsid w:val="000E4B0D"/>
    <w:rsid w:val="000E5906"/>
    <w:rsid w:val="000F5F55"/>
    <w:rsid w:val="001060C0"/>
    <w:rsid w:val="0012589C"/>
    <w:rsid w:val="00154B63"/>
    <w:rsid w:val="00161C85"/>
    <w:rsid w:val="001823B7"/>
    <w:rsid w:val="001919F5"/>
    <w:rsid w:val="001954BD"/>
    <w:rsid w:val="001A48C1"/>
    <w:rsid w:val="001C1B4F"/>
    <w:rsid w:val="001D2264"/>
    <w:rsid w:val="001D50AF"/>
    <w:rsid w:val="001F65AA"/>
    <w:rsid w:val="002108F8"/>
    <w:rsid w:val="00212E13"/>
    <w:rsid w:val="00226630"/>
    <w:rsid w:val="002431E5"/>
    <w:rsid w:val="00257178"/>
    <w:rsid w:val="0026059C"/>
    <w:rsid w:val="00277DAD"/>
    <w:rsid w:val="00287782"/>
    <w:rsid w:val="002935E2"/>
    <w:rsid w:val="002D2926"/>
    <w:rsid w:val="00365A17"/>
    <w:rsid w:val="00366852"/>
    <w:rsid w:val="00367911"/>
    <w:rsid w:val="00381CF3"/>
    <w:rsid w:val="003A617A"/>
    <w:rsid w:val="003E7DEC"/>
    <w:rsid w:val="003F211F"/>
    <w:rsid w:val="00424065"/>
    <w:rsid w:val="00435D1A"/>
    <w:rsid w:val="00444EB1"/>
    <w:rsid w:val="004A01C7"/>
    <w:rsid w:val="004A74D9"/>
    <w:rsid w:val="004B0F41"/>
    <w:rsid w:val="004C4E5E"/>
    <w:rsid w:val="004C56EA"/>
    <w:rsid w:val="004C701C"/>
    <w:rsid w:val="004E6E6B"/>
    <w:rsid w:val="004F5500"/>
    <w:rsid w:val="004F7B6D"/>
    <w:rsid w:val="00510F27"/>
    <w:rsid w:val="0051667D"/>
    <w:rsid w:val="00541365"/>
    <w:rsid w:val="00552065"/>
    <w:rsid w:val="00594FE5"/>
    <w:rsid w:val="005A20ED"/>
    <w:rsid w:val="005A6736"/>
    <w:rsid w:val="005E529D"/>
    <w:rsid w:val="005F239A"/>
    <w:rsid w:val="0060739C"/>
    <w:rsid w:val="00611B1A"/>
    <w:rsid w:val="00626F47"/>
    <w:rsid w:val="006563D2"/>
    <w:rsid w:val="00673EC3"/>
    <w:rsid w:val="00683558"/>
    <w:rsid w:val="00694E57"/>
    <w:rsid w:val="006C6D2B"/>
    <w:rsid w:val="006E570D"/>
    <w:rsid w:val="006F1278"/>
    <w:rsid w:val="006F2145"/>
    <w:rsid w:val="006F4B3D"/>
    <w:rsid w:val="00710036"/>
    <w:rsid w:val="007119B8"/>
    <w:rsid w:val="00717526"/>
    <w:rsid w:val="00736754"/>
    <w:rsid w:val="00747910"/>
    <w:rsid w:val="0075091C"/>
    <w:rsid w:val="007A4824"/>
    <w:rsid w:val="007A51C3"/>
    <w:rsid w:val="007B00ED"/>
    <w:rsid w:val="007E508F"/>
    <w:rsid w:val="00802FBF"/>
    <w:rsid w:val="0081172C"/>
    <w:rsid w:val="00813A13"/>
    <w:rsid w:val="00815DB1"/>
    <w:rsid w:val="00826DEA"/>
    <w:rsid w:val="008273B9"/>
    <w:rsid w:val="008321C0"/>
    <w:rsid w:val="00833454"/>
    <w:rsid w:val="00844235"/>
    <w:rsid w:val="00857EA8"/>
    <w:rsid w:val="008910B8"/>
    <w:rsid w:val="008A11D6"/>
    <w:rsid w:val="008C615A"/>
    <w:rsid w:val="008D69AA"/>
    <w:rsid w:val="00900716"/>
    <w:rsid w:val="00904994"/>
    <w:rsid w:val="009117B6"/>
    <w:rsid w:val="00917458"/>
    <w:rsid w:val="00917C61"/>
    <w:rsid w:val="00926900"/>
    <w:rsid w:val="0095554E"/>
    <w:rsid w:val="0097430B"/>
    <w:rsid w:val="0099693C"/>
    <w:rsid w:val="00997222"/>
    <w:rsid w:val="009977D8"/>
    <w:rsid w:val="009D2BB4"/>
    <w:rsid w:val="009E3D68"/>
    <w:rsid w:val="009F22E5"/>
    <w:rsid w:val="009F6F31"/>
    <w:rsid w:val="00A032B6"/>
    <w:rsid w:val="00A35C35"/>
    <w:rsid w:val="00A42F10"/>
    <w:rsid w:val="00A654E1"/>
    <w:rsid w:val="00A76266"/>
    <w:rsid w:val="00AB326C"/>
    <w:rsid w:val="00AC2EB5"/>
    <w:rsid w:val="00AC6E73"/>
    <w:rsid w:val="00AE51C6"/>
    <w:rsid w:val="00AF591D"/>
    <w:rsid w:val="00B76C06"/>
    <w:rsid w:val="00B83A8A"/>
    <w:rsid w:val="00BA632E"/>
    <w:rsid w:val="00BD14AE"/>
    <w:rsid w:val="00BE4F3D"/>
    <w:rsid w:val="00BE7BA6"/>
    <w:rsid w:val="00C1131C"/>
    <w:rsid w:val="00C121BA"/>
    <w:rsid w:val="00C25D86"/>
    <w:rsid w:val="00C3734A"/>
    <w:rsid w:val="00C43442"/>
    <w:rsid w:val="00C77370"/>
    <w:rsid w:val="00CA1791"/>
    <w:rsid w:val="00CE159E"/>
    <w:rsid w:val="00CE418F"/>
    <w:rsid w:val="00D04AEB"/>
    <w:rsid w:val="00D07536"/>
    <w:rsid w:val="00D110F9"/>
    <w:rsid w:val="00D27AAE"/>
    <w:rsid w:val="00D96E34"/>
    <w:rsid w:val="00DB34A4"/>
    <w:rsid w:val="00DB35C0"/>
    <w:rsid w:val="00DE088B"/>
    <w:rsid w:val="00E06812"/>
    <w:rsid w:val="00E16080"/>
    <w:rsid w:val="00E265BC"/>
    <w:rsid w:val="00E37FF1"/>
    <w:rsid w:val="00E51F48"/>
    <w:rsid w:val="00E63812"/>
    <w:rsid w:val="00E6678D"/>
    <w:rsid w:val="00E67E5E"/>
    <w:rsid w:val="00E90DB1"/>
    <w:rsid w:val="00E92C98"/>
    <w:rsid w:val="00E975E9"/>
    <w:rsid w:val="00EC5E17"/>
    <w:rsid w:val="00EC70F8"/>
    <w:rsid w:val="00ED67B4"/>
    <w:rsid w:val="00F16008"/>
    <w:rsid w:val="00F1639B"/>
    <w:rsid w:val="00F253A2"/>
    <w:rsid w:val="00F628E4"/>
    <w:rsid w:val="00F64381"/>
    <w:rsid w:val="00F72C4D"/>
    <w:rsid w:val="00FA6E55"/>
    <w:rsid w:val="00FC2443"/>
    <w:rsid w:val="00FC3F3C"/>
    <w:rsid w:val="00FE61CD"/>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4346</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4997</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2021-02-09T10:50:00Z</cp:lastPrinted>
  <dcterms:created xsi:type="dcterms:W3CDTF">2021-07-29T08:51:00Z</dcterms:created>
  <dcterms:modified xsi:type="dcterms:W3CDTF">2021-07-29T08:51:00Z</dcterms:modified>
</cp:coreProperties>
</file>