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B963C0"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B70712">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F4ED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4605D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3702F" w:rsidRPr="00235F61" w:rsidTr="00171FAF">
        <w:trPr>
          <w:trHeight w:val="259"/>
        </w:trPr>
        <w:tc>
          <w:tcPr>
            <w:tcW w:w="4952" w:type="dxa"/>
            <w:gridSpan w:val="7"/>
          </w:tcPr>
          <w:p w:rsidR="0033702F" w:rsidRPr="00235F61" w:rsidRDefault="0033702F" w:rsidP="007E173F">
            <w:pPr>
              <w:rPr>
                <w:rFonts w:eastAsia="Calibri"/>
                <w:b/>
                <w:bCs/>
                <w:u w:val="single"/>
              </w:rPr>
            </w:pPr>
            <w:r w:rsidRPr="0013188E">
              <w:rPr>
                <w:rFonts w:eastAsia="Calibri"/>
                <w:b/>
                <w:u w:val="single"/>
              </w:rPr>
              <w:t>«</w:t>
            </w:r>
            <w:r w:rsidR="007E173F">
              <w:rPr>
                <w:rFonts w:eastAsia="Calibri"/>
                <w:b/>
                <w:u w:val="single"/>
              </w:rPr>
              <w:t>2</w:t>
            </w:r>
            <w:r w:rsidR="00CD0E24">
              <w:rPr>
                <w:rFonts w:eastAsia="Calibri"/>
                <w:b/>
                <w:u w:val="single"/>
              </w:rPr>
              <w:t>8</w:t>
            </w:r>
            <w:r w:rsidRPr="0013188E">
              <w:rPr>
                <w:rFonts w:eastAsia="Calibri"/>
                <w:b/>
                <w:u w:val="single"/>
              </w:rPr>
              <w:t xml:space="preserve">» </w:t>
            </w:r>
            <w:r w:rsidR="007E173F">
              <w:rPr>
                <w:rFonts w:eastAsia="Calibri"/>
                <w:b/>
                <w:u w:val="single"/>
              </w:rPr>
              <w:t>июл</w:t>
            </w:r>
            <w:r w:rsidR="0013188E" w:rsidRPr="0013188E">
              <w:rPr>
                <w:rFonts w:eastAsia="Calibri"/>
                <w:b/>
                <w:u w:val="single"/>
              </w:rPr>
              <w:t>я</w:t>
            </w:r>
            <w:r>
              <w:rPr>
                <w:rFonts w:eastAsia="Calibri"/>
                <w:b/>
                <w:u w:val="single"/>
              </w:rPr>
              <w:t xml:space="preserve"> </w:t>
            </w:r>
            <w:r w:rsidRPr="00235F61">
              <w:rPr>
                <w:rFonts w:eastAsia="Calibri"/>
                <w:b/>
                <w:bCs/>
                <w:u w:val="single"/>
              </w:rPr>
              <w:t>20</w:t>
            </w:r>
            <w:r>
              <w:rPr>
                <w:rFonts w:eastAsia="Calibri"/>
                <w:b/>
                <w:bCs/>
                <w:u w:val="single"/>
              </w:rPr>
              <w:t>2</w:t>
            </w:r>
            <w:r w:rsidR="007E173F">
              <w:rPr>
                <w:rFonts w:eastAsia="Calibri"/>
                <w:b/>
                <w:bCs/>
                <w:u w:val="single"/>
              </w:rPr>
              <w:t>1</w:t>
            </w:r>
            <w:r w:rsidRPr="00235F61">
              <w:rPr>
                <w:rFonts w:eastAsia="Calibri"/>
                <w:b/>
                <w:bCs/>
                <w:u w:val="single"/>
              </w:rPr>
              <w:t xml:space="preserve"> года</w:t>
            </w:r>
          </w:p>
        </w:tc>
        <w:tc>
          <w:tcPr>
            <w:tcW w:w="4971" w:type="dxa"/>
            <w:gridSpan w:val="3"/>
          </w:tcPr>
          <w:p w:rsidR="0033702F" w:rsidRPr="00235F61" w:rsidRDefault="0033702F" w:rsidP="007E173F">
            <w:pPr>
              <w:ind w:firstLine="709"/>
              <w:rPr>
                <w:rFonts w:eastAsia="Calibri"/>
                <w:b/>
                <w:bCs/>
                <w:u w:val="single"/>
              </w:rPr>
            </w:pPr>
            <w:r>
              <w:rPr>
                <w:rFonts w:eastAsia="Calibri"/>
                <w:b/>
                <w:bCs/>
              </w:rPr>
              <w:t xml:space="preserve">      </w:t>
            </w:r>
            <w:r w:rsidRPr="00235F61">
              <w:rPr>
                <w:rFonts w:eastAsia="Calibri"/>
                <w:b/>
                <w:bCs/>
              </w:rPr>
              <w:t xml:space="preserve">                   </w:t>
            </w:r>
            <w:r>
              <w:rPr>
                <w:rFonts w:eastAsia="Calibri"/>
                <w:b/>
                <w:bCs/>
              </w:rPr>
              <w:t xml:space="preserve"> </w:t>
            </w:r>
            <w:r w:rsidRPr="00235F61">
              <w:rPr>
                <w:rFonts w:eastAsia="Calibri"/>
                <w:b/>
                <w:bCs/>
                <w:u w:val="single"/>
              </w:rPr>
              <w:t xml:space="preserve">Дело </w:t>
            </w:r>
            <w:r w:rsidRPr="00235F61">
              <w:rPr>
                <w:rFonts w:eastAsia="Calibri"/>
                <w:b/>
                <w:u w:val="single"/>
              </w:rPr>
              <w:t>№</w:t>
            </w:r>
            <w:r w:rsidR="007E173F">
              <w:rPr>
                <w:rFonts w:eastAsia="Calibri"/>
                <w:b/>
                <w:u w:val="single"/>
              </w:rPr>
              <w:t>569</w:t>
            </w:r>
            <w:r>
              <w:rPr>
                <w:rFonts w:eastAsia="Calibri"/>
                <w:b/>
                <w:u w:val="single"/>
              </w:rPr>
              <w:t>/2</w:t>
            </w:r>
            <w:r w:rsidR="007E173F">
              <w:rPr>
                <w:rFonts w:eastAsia="Calibri"/>
                <w:b/>
                <w:u w:val="single"/>
              </w:rPr>
              <w:t>1</w:t>
            </w:r>
            <w:r w:rsidRPr="00235F61">
              <w:rPr>
                <w:rFonts w:eastAsia="Calibri"/>
                <w:b/>
                <w:u w:val="single"/>
              </w:rPr>
              <w:t>-</w:t>
            </w:r>
            <w:r>
              <w:rPr>
                <w:rFonts w:eastAsia="Calibri"/>
                <w:b/>
                <w:u w:val="single"/>
              </w:rPr>
              <w:t>02</w:t>
            </w:r>
            <w:r w:rsidRPr="00235F61">
              <w:rPr>
                <w:rFonts w:eastAsia="Calibri"/>
                <w:b/>
                <w:u w:val="single"/>
              </w:rPr>
              <w:t xml:space="preserve">  </w:t>
            </w: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tabs>
                <w:tab w:val="center" w:pos="1805"/>
              </w:tabs>
              <w:ind w:firstLine="709"/>
              <w:jc w:val="center"/>
              <w:rPr>
                <w:rFonts w:eastAsia="Calibri"/>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985" w:type="dxa"/>
            <w:gridSpan w:val="2"/>
          </w:tcPr>
          <w:p w:rsidR="0033702F" w:rsidRPr="00235F61" w:rsidRDefault="0033702F" w:rsidP="00171FAF">
            <w:pPr>
              <w:rPr>
                <w:rFonts w:eastAsia="Calibri"/>
                <w:b/>
                <w:bCs/>
              </w:rPr>
            </w:pPr>
            <w:r w:rsidRPr="00235F61">
              <w:rPr>
                <w:rFonts w:eastAsia="Calibri"/>
                <w:bCs/>
              </w:rPr>
              <w:t>г. Тирасполь</w:t>
            </w:r>
          </w:p>
        </w:tc>
        <w:tc>
          <w:tcPr>
            <w:tcW w:w="283" w:type="dxa"/>
          </w:tcPr>
          <w:p w:rsidR="0033702F" w:rsidRPr="00235F61" w:rsidRDefault="0033702F" w:rsidP="00171FAF">
            <w:pPr>
              <w:ind w:firstLine="709"/>
              <w:rPr>
                <w:rFonts w:eastAsia="Calibri"/>
                <w:b/>
                <w:bCs/>
              </w:rPr>
            </w:pPr>
          </w:p>
        </w:tc>
        <w:tc>
          <w:tcPr>
            <w:tcW w:w="284" w:type="dxa"/>
          </w:tcPr>
          <w:p w:rsidR="0033702F" w:rsidRPr="00235F61" w:rsidRDefault="0033702F" w:rsidP="00171FAF">
            <w:pPr>
              <w:ind w:firstLine="709"/>
              <w:jc w:val="center"/>
              <w:rPr>
                <w:rFonts w:eastAsia="Calibri"/>
                <w:b/>
                <w:bCs/>
              </w:rPr>
            </w:pPr>
          </w:p>
        </w:tc>
        <w:tc>
          <w:tcPr>
            <w:tcW w:w="4587" w:type="dxa"/>
            <w:gridSpan w:val="5"/>
          </w:tcPr>
          <w:p w:rsidR="0033702F" w:rsidRPr="00235F61" w:rsidRDefault="0033702F" w:rsidP="00171FAF">
            <w:pPr>
              <w:ind w:firstLine="709"/>
              <w:jc w:val="center"/>
              <w:rPr>
                <w:rFonts w:eastAsia="Calibri"/>
                <w:b/>
                <w:bCs/>
              </w:rPr>
            </w:pPr>
          </w:p>
        </w:tc>
        <w:tc>
          <w:tcPr>
            <w:tcW w:w="2784" w:type="dxa"/>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bl>
    <w:p w:rsidR="0033702F" w:rsidRPr="00976A43" w:rsidRDefault="0033702F" w:rsidP="0033702F">
      <w:pPr>
        <w:pStyle w:val="HTML"/>
        <w:spacing w:line="19" w:lineRule="atLeast"/>
        <w:ind w:right="-1" w:firstLine="567"/>
        <w:jc w:val="both"/>
        <w:rPr>
          <w:rStyle w:val="FontStyle14"/>
          <w:sz w:val="24"/>
          <w:szCs w:val="24"/>
        </w:rPr>
      </w:pPr>
      <w:r w:rsidRPr="00235F61">
        <w:rPr>
          <w:rStyle w:val="FontStyle14"/>
          <w:sz w:val="24"/>
          <w:szCs w:val="24"/>
        </w:rPr>
        <w:t xml:space="preserve">Арбитражный суд </w:t>
      </w:r>
      <w:r w:rsidRPr="00235F61">
        <w:rPr>
          <w:rFonts w:ascii="Times New Roman" w:hAnsi="Times New Roman" w:cs="Times New Roman"/>
          <w:sz w:val="24"/>
          <w:szCs w:val="24"/>
        </w:rPr>
        <w:t>Приднестровской Молдавской Республики</w:t>
      </w:r>
      <w:r w:rsidRPr="00235F61">
        <w:rPr>
          <w:rStyle w:val="FontStyle14"/>
          <w:sz w:val="24"/>
          <w:szCs w:val="24"/>
        </w:rPr>
        <w:t xml:space="preserve"> в составе судьи </w:t>
      </w:r>
      <w:r>
        <w:rPr>
          <w:rStyle w:val="FontStyle14"/>
          <w:sz w:val="24"/>
          <w:szCs w:val="24"/>
        </w:rPr>
        <w:t>Качуровской Е.В.</w:t>
      </w:r>
      <w:r w:rsidRPr="00235F61">
        <w:rPr>
          <w:rStyle w:val="FontStyle14"/>
          <w:sz w:val="24"/>
          <w:szCs w:val="24"/>
        </w:rPr>
        <w:t xml:space="preserve">, ознакомившись с </w:t>
      </w:r>
      <w:r>
        <w:rPr>
          <w:rStyle w:val="FontStyle14"/>
          <w:sz w:val="24"/>
          <w:szCs w:val="24"/>
        </w:rPr>
        <w:t xml:space="preserve"> заявлением  </w:t>
      </w:r>
      <w:r w:rsidR="007E173F">
        <w:rPr>
          <w:rStyle w:val="FontStyle14"/>
          <w:sz w:val="24"/>
          <w:szCs w:val="24"/>
        </w:rPr>
        <w:t>Прокурора г.Слободзея</w:t>
      </w:r>
      <w:r w:rsidR="004773FE">
        <w:rPr>
          <w:rStyle w:val="FontStyle14"/>
          <w:sz w:val="24"/>
          <w:szCs w:val="24"/>
        </w:rPr>
        <w:t xml:space="preserve"> </w:t>
      </w:r>
      <w:r w:rsidR="007E173F">
        <w:rPr>
          <w:rStyle w:val="FontStyle14"/>
          <w:sz w:val="24"/>
          <w:szCs w:val="24"/>
        </w:rPr>
        <w:t xml:space="preserve">и Слободзейского района </w:t>
      </w:r>
      <w:r w:rsidR="004773FE">
        <w:rPr>
          <w:rStyle w:val="FontStyle14"/>
          <w:sz w:val="24"/>
          <w:szCs w:val="24"/>
        </w:rPr>
        <w:t>(г.</w:t>
      </w:r>
      <w:r w:rsidR="007E173F">
        <w:rPr>
          <w:rStyle w:val="FontStyle14"/>
          <w:sz w:val="24"/>
          <w:szCs w:val="24"/>
        </w:rPr>
        <w:t>Слободзея ул.Фрунзе,д.27</w:t>
      </w:r>
      <w:r w:rsidRPr="00976A43">
        <w:rPr>
          <w:rStyle w:val="FontStyle14"/>
          <w:sz w:val="24"/>
          <w:szCs w:val="24"/>
        </w:rPr>
        <w:t xml:space="preserve">) </w:t>
      </w:r>
      <w:r>
        <w:rPr>
          <w:rStyle w:val="FontStyle14"/>
          <w:sz w:val="24"/>
          <w:szCs w:val="24"/>
        </w:rPr>
        <w:t>о привлечении к административной ответственности</w:t>
      </w:r>
      <w:r w:rsidRPr="00976A43">
        <w:rPr>
          <w:rStyle w:val="FontStyle14"/>
          <w:sz w:val="24"/>
          <w:szCs w:val="24"/>
        </w:rPr>
        <w:t xml:space="preserve"> </w:t>
      </w:r>
      <w:r w:rsidR="007E173F">
        <w:rPr>
          <w:rStyle w:val="FontStyle14"/>
          <w:sz w:val="24"/>
          <w:szCs w:val="24"/>
        </w:rPr>
        <w:t>индивидуального предпринимателя (конкурсного управляющего) Осипова Сергея Ивановича</w:t>
      </w:r>
      <w:r w:rsidR="00CD0E24">
        <w:rPr>
          <w:rStyle w:val="FontStyle14"/>
          <w:sz w:val="24"/>
          <w:szCs w:val="24"/>
        </w:rPr>
        <w:t xml:space="preserve"> (</w:t>
      </w:r>
      <w:r w:rsidR="007E173F">
        <w:rPr>
          <w:rStyle w:val="FontStyle14"/>
          <w:sz w:val="24"/>
          <w:szCs w:val="24"/>
        </w:rPr>
        <w:t>г.Тирасполь ул.Комарова,д.5 кв.126</w:t>
      </w:r>
      <w:r w:rsidRPr="00976A43">
        <w:rPr>
          <w:rStyle w:val="FontStyle14"/>
          <w:sz w:val="24"/>
          <w:szCs w:val="24"/>
        </w:rPr>
        <w:t>), а также изучив приложенные к нему документы,</w:t>
      </w: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r w:rsidRPr="00235F61">
        <w:rPr>
          <w:rFonts w:ascii="Times New Roman" w:hAnsi="Times New Roman" w:cs="Times New Roman"/>
          <w:b/>
          <w:color w:val="000000"/>
          <w:sz w:val="24"/>
          <w:szCs w:val="24"/>
        </w:rPr>
        <w:t>У С Т А Н О В И Л:</w:t>
      </w:r>
    </w:p>
    <w:p w:rsidR="0088290C" w:rsidRPr="00235F61" w:rsidRDefault="0088290C" w:rsidP="0033702F">
      <w:pPr>
        <w:pStyle w:val="HTML"/>
        <w:spacing w:line="19" w:lineRule="atLeast"/>
        <w:ind w:right="-1" w:firstLine="567"/>
        <w:jc w:val="center"/>
        <w:rPr>
          <w:rFonts w:ascii="Times New Roman" w:hAnsi="Times New Roman" w:cs="Times New Roman"/>
          <w:b/>
          <w:color w:val="000000"/>
          <w:sz w:val="24"/>
          <w:szCs w:val="24"/>
        </w:rPr>
      </w:pPr>
    </w:p>
    <w:p w:rsidR="00DB10FB" w:rsidRDefault="00DB10FB" w:rsidP="004605D2">
      <w:pPr>
        <w:spacing w:line="19" w:lineRule="atLeast"/>
        <w:ind w:right="-1" w:firstLine="567"/>
        <w:jc w:val="both"/>
        <w:rPr>
          <w:color w:val="000000"/>
        </w:rPr>
      </w:pPr>
      <w:r>
        <w:rPr>
          <w:rStyle w:val="FontStyle14"/>
          <w:sz w:val="24"/>
          <w:szCs w:val="24"/>
        </w:rPr>
        <w:t xml:space="preserve">23.07.2021 г. Прокурор  г.Слободзея и Слободзейского района </w:t>
      </w:r>
      <w:r w:rsidR="00894E49">
        <w:rPr>
          <w:rStyle w:val="FontStyle14"/>
          <w:sz w:val="24"/>
          <w:szCs w:val="24"/>
        </w:rPr>
        <w:t>о</w:t>
      </w:r>
      <w:r w:rsidR="00894E49" w:rsidRPr="00FF32CB">
        <w:rPr>
          <w:color w:val="000000"/>
        </w:rPr>
        <w:t>братил</w:t>
      </w:r>
      <w:r w:rsidR="00CD0E24">
        <w:rPr>
          <w:color w:val="000000"/>
        </w:rPr>
        <w:t>ся</w:t>
      </w:r>
      <w:r w:rsidR="00894E49" w:rsidRPr="00FF32CB">
        <w:rPr>
          <w:color w:val="000000"/>
        </w:rPr>
        <w:t xml:space="preserve"> в Арбитражный суд ПМР с заявлением о </w:t>
      </w:r>
      <w:r w:rsidR="00894E49">
        <w:rPr>
          <w:rStyle w:val="FontStyle14"/>
          <w:sz w:val="24"/>
          <w:szCs w:val="24"/>
        </w:rPr>
        <w:t>привлечении к административной ответственности</w:t>
      </w:r>
      <w:r>
        <w:rPr>
          <w:rStyle w:val="FontStyle14"/>
          <w:sz w:val="24"/>
          <w:szCs w:val="24"/>
        </w:rPr>
        <w:t>, предусмотренной пунктом 3 ст.14.25. КоАП ПМР</w:t>
      </w:r>
      <w:r w:rsidR="00894E49" w:rsidRPr="00976A43">
        <w:rPr>
          <w:rStyle w:val="FontStyle14"/>
          <w:sz w:val="24"/>
          <w:szCs w:val="24"/>
        </w:rPr>
        <w:t xml:space="preserve"> </w:t>
      </w:r>
      <w:r>
        <w:rPr>
          <w:rStyle w:val="FontStyle14"/>
          <w:sz w:val="24"/>
          <w:szCs w:val="24"/>
        </w:rPr>
        <w:t>индивидуального предпринимателя (конкурсного управляющего) Осипова Сергея Ивановича</w:t>
      </w:r>
      <w:r>
        <w:rPr>
          <w:color w:val="000000"/>
        </w:rPr>
        <w:t>.</w:t>
      </w:r>
    </w:p>
    <w:p w:rsidR="0033702F" w:rsidRPr="00FF32CB" w:rsidRDefault="0033702F" w:rsidP="004605D2">
      <w:pPr>
        <w:spacing w:line="19" w:lineRule="atLeast"/>
        <w:ind w:right="-1" w:firstLine="567"/>
        <w:jc w:val="both"/>
        <w:rPr>
          <w:color w:val="000000"/>
        </w:rPr>
      </w:pPr>
      <w:r w:rsidRPr="00FF32CB">
        <w:rPr>
          <w:color w:val="000000"/>
        </w:rPr>
        <w:t>Одна</w:t>
      </w:r>
      <w:r w:rsidR="004773FE">
        <w:rPr>
          <w:color w:val="000000"/>
        </w:rPr>
        <w:t>ко поданные</w:t>
      </w:r>
      <w:r w:rsidRPr="00FF32CB">
        <w:rPr>
          <w:color w:val="000000"/>
        </w:rPr>
        <w:t xml:space="preserve"> документы не соответствуют  требованиям, установленным Арбитражным процессуальным кодексом ПМР.</w:t>
      </w:r>
    </w:p>
    <w:p w:rsidR="0033702F" w:rsidRPr="00894E49" w:rsidRDefault="0033702F" w:rsidP="004605D2">
      <w:pPr>
        <w:spacing w:line="19" w:lineRule="atLeast"/>
        <w:ind w:right="-1" w:firstLine="567"/>
        <w:jc w:val="both"/>
        <w:rPr>
          <w:color w:val="000000"/>
        </w:rPr>
      </w:pPr>
      <w:r w:rsidRPr="009D2111">
        <w:rPr>
          <w:color w:val="000000"/>
        </w:rPr>
        <w:t xml:space="preserve">В соответствии с положениями </w:t>
      </w:r>
      <w:r w:rsidR="004773FE" w:rsidRPr="009D2111">
        <w:rPr>
          <w:color w:val="000000"/>
        </w:rPr>
        <w:t>статьи 130-15 АПК ПМР заявление</w:t>
      </w:r>
      <w:r w:rsidRPr="009D2111">
        <w:rPr>
          <w:color w:val="000000"/>
        </w:rPr>
        <w:t xml:space="preserve"> о </w:t>
      </w:r>
      <w:r w:rsidRPr="00FD3DBE">
        <w:rPr>
          <w:color w:val="000000"/>
        </w:rPr>
        <w:t xml:space="preserve">привлечении к административной ответственности должно соответствовать требованиям, </w:t>
      </w:r>
      <w:r w:rsidRPr="00894E49">
        <w:rPr>
          <w:color w:val="000000"/>
        </w:rPr>
        <w:t xml:space="preserve">предусмотренным статьей 91 (за исключением п.ж),з) п.2), статьей 92 и 93 АПК ПМР. </w:t>
      </w:r>
    </w:p>
    <w:p w:rsidR="009D2111" w:rsidRDefault="009D2111" w:rsidP="009D2111">
      <w:pPr>
        <w:spacing w:line="19" w:lineRule="atLeast"/>
        <w:ind w:right="-1" w:firstLine="567"/>
        <w:jc w:val="both"/>
        <w:rPr>
          <w:color w:val="000000"/>
        </w:rPr>
      </w:pPr>
      <w:r>
        <w:rPr>
          <w:color w:val="000000"/>
        </w:rPr>
        <w:t>В</w:t>
      </w:r>
      <w:r w:rsidRPr="009D2111">
        <w:rPr>
          <w:color w:val="000000"/>
        </w:rPr>
        <w:t xml:space="preserve"> силу подп.д) п.2 ст.91 АПК ПМР в заявлении должны быть указаны обстоятельства, на которых основаны требования, и подтверждающие эти обстоятельства доказательства.</w:t>
      </w:r>
      <w:r>
        <w:rPr>
          <w:color w:val="000000"/>
        </w:rPr>
        <w:t xml:space="preserve"> </w:t>
      </w:r>
    </w:p>
    <w:p w:rsidR="009D2111" w:rsidRPr="009D2111" w:rsidRDefault="009D2111" w:rsidP="009D2111">
      <w:pPr>
        <w:spacing w:line="19" w:lineRule="atLeast"/>
        <w:ind w:right="-1" w:firstLine="567"/>
        <w:jc w:val="both"/>
        <w:rPr>
          <w:color w:val="000000"/>
        </w:rPr>
      </w:pPr>
      <w:r w:rsidRPr="009D2111">
        <w:rPr>
          <w:color w:val="000000"/>
        </w:rPr>
        <w:t>К заявлению в силу подп.г) ч.1 ст.93 АПК ПМР прилагаются документы, подтверждающие обстоятельства, на которых основываются требования.</w:t>
      </w:r>
    </w:p>
    <w:p w:rsidR="009D2111" w:rsidRDefault="009D2111" w:rsidP="009D2111">
      <w:pPr>
        <w:spacing w:line="19" w:lineRule="atLeast"/>
        <w:ind w:right="-1" w:firstLine="567"/>
        <w:jc w:val="both"/>
        <w:rPr>
          <w:color w:val="000000"/>
        </w:rPr>
      </w:pPr>
      <w:r>
        <w:rPr>
          <w:color w:val="000000"/>
        </w:rPr>
        <w:t>В поданном в Арбитражный суд ПМР заявлении указано, что решением Арбитражного суда ПМР от 06.08.2014 г. по делу № 218/15-05 ПСК «Первомайск» признан банкротом, в отношении него открыто конкурсное производство, конкурсным управляющим назначен Добровольский. Определением Арбитражного суда ПМР от 28 сентября 2017 г. по этому же делу, Добровольский В.А. освобожден от обязанностей конкурсного управляющего и в качестве такового назначен Осипов Сергей Иванович.</w:t>
      </w:r>
    </w:p>
    <w:p w:rsidR="009D2111" w:rsidRPr="009D2111" w:rsidRDefault="009D2111" w:rsidP="009D2111">
      <w:pPr>
        <w:spacing w:line="19" w:lineRule="atLeast"/>
        <w:ind w:right="-1" w:firstLine="567"/>
        <w:jc w:val="both"/>
        <w:rPr>
          <w:color w:val="000000"/>
        </w:rPr>
      </w:pPr>
      <w:r>
        <w:rPr>
          <w:color w:val="000000"/>
        </w:rPr>
        <w:t xml:space="preserve">Вместе с тем, в нарушение </w:t>
      </w:r>
      <w:r w:rsidRPr="009D2111">
        <w:rPr>
          <w:color w:val="000000"/>
        </w:rPr>
        <w:t>подп.г) ч.1 ст.93 АПК ПМР</w:t>
      </w:r>
      <w:r>
        <w:rPr>
          <w:color w:val="000000"/>
        </w:rPr>
        <w:t xml:space="preserve">, к заявлению не приложены указанные решение и определение суда. </w:t>
      </w:r>
    </w:p>
    <w:p w:rsidR="00B70712" w:rsidRDefault="00D26988" w:rsidP="009D2111">
      <w:pPr>
        <w:spacing w:line="19" w:lineRule="atLeast"/>
        <w:ind w:right="-1" w:firstLine="567"/>
        <w:jc w:val="both"/>
      </w:pPr>
      <w:r>
        <w:rPr>
          <w:color w:val="000000"/>
        </w:rPr>
        <w:t>Кроме того, в</w:t>
      </w:r>
      <w:r w:rsidR="009D2111">
        <w:rPr>
          <w:color w:val="000000"/>
        </w:rPr>
        <w:t>опреки требованиям, установленным</w:t>
      </w:r>
      <w:r w:rsidR="00B70712" w:rsidRPr="009D2111">
        <w:rPr>
          <w:color w:val="000000"/>
        </w:rPr>
        <w:t xml:space="preserve"> част</w:t>
      </w:r>
      <w:r w:rsidR="009D2111">
        <w:rPr>
          <w:color w:val="000000"/>
        </w:rPr>
        <w:t>ью</w:t>
      </w:r>
      <w:r w:rsidR="00B70712" w:rsidRPr="009D2111">
        <w:rPr>
          <w:color w:val="000000"/>
        </w:rPr>
        <w:t xml:space="preserve"> четвертой ст.93 АПК ПМР к заявлению не приложен его текст на электронном</w:t>
      </w:r>
      <w:r w:rsidR="00B70712">
        <w:t xml:space="preserve"> носителе. </w:t>
      </w:r>
    </w:p>
    <w:p w:rsidR="00DB10FB" w:rsidRDefault="00DB10FB" w:rsidP="00B70712">
      <w:pPr>
        <w:tabs>
          <w:tab w:val="right" w:pos="10148"/>
        </w:tabs>
        <w:ind w:firstLine="567"/>
        <w:jc w:val="both"/>
      </w:pPr>
    </w:p>
    <w:p w:rsidR="00DB10FB" w:rsidRDefault="00DB10FB" w:rsidP="00B70712">
      <w:pPr>
        <w:tabs>
          <w:tab w:val="right" w:pos="10148"/>
        </w:tabs>
        <w:ind w:firstLine="567"/>
        <w:jc w:val="both"/>
      </w:pPr>
    </w:p>
    <w:p w:rsidR="0033702F" w:rsidRDefault="0033702F" w:rsidP="004605D2">
      <w:pPr>
        <w:spacing w:line="19" w:lineRule="atLeast"/>
        <w:ind w:right="-1" w:firstLine="567"/>
        <w:jc w:val="both"/>
        <w:rPr>
          <w:color w:val="000000"/>
        </w:rPr>
      </w:pPr>
      <w:r w:rsidRPr="00992A5E">
        <w:rPr>
          <w:color w:val="000000"/>
        </w:rPr>
        <w:lastRenderedPageBreak/>
        <w:t>Согл</w:t>
      </w:r>
      <w:r w:rsidR="00CD0E24">
        <w:rPr>
          <w:color w:val="000000"/>
        </w:rPr>
        <w:t>асно статье 96-1 АПК ПМР судья, установив, что</w:t>
      </w:r>
      <w:r w:rsidRPr="00992A5E">
        <w:rPr>
          <w:color w:val="000000"/>
        </w:rPr>
        <w:t xml:space="preserve"> заявление подано в суд без соблюдения  требований, установленных АПК ПМР,  выносит определение об оставле</w:t>
      </w:r>
      <w:r w:rsidR="00CD0E24">
        <w:rPr>
          <w:color w:val="000000"/>
        </w:rPr>
        <w:t>нии  заявления без движения, о чем</w:t>
      </w:r>
      <w:r w:rsidRPr="00992A5E">
        <w:rPr>
          <w:color w:val="000000"/>
        </w:rPr>
        <w:t xml:space="preserve"> извещает лицо, подавшее заявление</w:t>
      </w:r>
      <w:r w:rsidR="00CD0E24">
        <w:rPr>
          <w:color w:val="000000"/>
        </w:rPr>
        <w:t>, и предоставляет ему разумный срок для</w:t>
      </w:r>
      <w:r w:rsidRPr="00992A5E">
        <w:rPr>
          <w:color w:val="000000"/>
        </w:rPr>
        <w:t xml:space="preserve"> исправления недостатков.</w:t>
      </w:r>
    </w:p>
    <w:p w:rsidR="0033702F" w:rsidRDefault="0033702F" w:rsidP="004605D2">
      <w:pPr>
        <w:spacing w:line="19" w:lineRule="atLeast"/>
        <w:ind w:right="-1" w:firstLine="567"/>
        <w:jc w:val="both"/>
        <w:rPr>
          <w:color w:val="000000"/>
        </w:rPr>
      </w:pPr>
      <w:r w:rsidRPr="00992A5E">
        <w:t xml:space="preserve">При </w:t>
      </w:r>
      <w:r w:rsidRPr="00250EF7">
        <w:rPr>
          <w:color w:val="000000" w:themeColor="text1"/>
        </w:rPr>
        <w:t>таких обстоятельствах, учитывая, что заявление подано с нарушением  требований ст</w:t>
      </w:r>
      <w:r w:rsidR="00250EF7">
        <w:rPr>
          <w:color w:val="000000" w:themeColor="text1"/>
        </w:rPr>
        <w:t>.</w:t>
      </w:r>
      <w:r w:rsidR="00250EF7" w:rsidRPr="00250EF7">
        <w:rPr>
          <w:color w:val="000000" w:themeColor="text1"/>
        </w:rPr>
        <w:t>130-15 во взаимосвязи с</w:t>
      </w:r>
      <w:r w:rsidRPr="00250EF7">
        <w:rPr>
          <w:color w:val="000000" w:themeColor="text1"/>
        </w:rPr>
        <w:t xml:space="preserve"> </w:t>
      </w:r>
      <w:r w:rsidR="00667B77" w:rsidRPr="009D2111">
        <w:rPr>
          <w:color w:val="000000"/>
        </w:rPr>
        <w:t xml:space="preserve">подп.г) ч.1 </w:t>
      </w:r>
      <w:r w:rsidR="00250EF7" w:rsidRPr="00250EF7">
        <w:rPr>
          <w:color w:val="000000" w:themeColor="text1"/>
        </w:rPr>
        <w:t>ст</w:t>
      </w:r>
      <w:r w:rsidR="00250EF7">
        <w:rPr>
          <w:color w:val="000000" w:themeColor="text1"/>
        </w:rPr>
        <w:t>.</w:t>
      </w:r>
      <w:r w:rsidR="00894E49" w:rsidRPr="00250EF7">
        <w:rPr>
          <w:color w:val="000000" w:themeColor="text1"/>
        </w:rPr>
        <w:t>9</w:t>
      </w:r>
      <w:r w:rsidRPr="00250EF7">
        <w:rPr>
          <w:color w:val="000000" w:themeColor="text1"/>
        </w:rPr>
        <w:t>3</w:t>
      </w:r>
      <w:r w:rsidR="00667B77">
        <w:rPr>
          <w:color w:val="000000" w:themeColor="text1"/>
        </w:rPr>
        <w:t>, ч.4 ст.93</w:t>
      </w:r>
      <w:r w:rsidRPr="00250EF7">
        <w:rPr>
          <w:color w:val="000000" w:themeColor="text1"/>
        </w:rPr>
        <w:t xml:space="preserve"> АПК ПМР, оно подлежит оставлению без движения с предоставлением</w:t>
      </w:r>
      <w:r>
        <w:t xml:space="preserve"> срока для устранения недостатков. </w:t>
      </w:r>
      <w:r w:rsidRPr="00992A5E">
        <w:t xml:space="preserve">  </w:t>
      </w:r>
    </w:p>
    <w:p w:rsidR="0033702F" w:rsidRDefault="0033702F" w:rsidP="004605D2">
      <w:pPr>
        <w:spacing w:line="19" w:lineRule="atLeast"/>
        <w:ind w:right="-1" w:firstLine="567"/>
        <w:jc w:val="both"/>
      </w:pPr>
      <w:r w:rsidRPr="00992A5E">
        <w:rPr>
          <w:color w:val="000000"/>
        </w:rPr>
        <w:t xml:space="preserve">На основании  изложенного  и  руководствуясь  статьями  96-1, 128  Арбитражного процессуального кодекса Приднестровской Молдавской Республики, Арбитражный суд </w:t>
      </w:r>
    </w:p>
    <w:p w:rsidR="00E044C1" w:rsidRDefault="00E044C1" w:rsidP="0033702F">
      <w:pPr>
        <w:spacing w:line="19" w:lineRule="atLeast"/>
        <w:ind w:right="-1" w:firstLine="567"/>
        <w:jc w:val="center"/>
        <w:rPr>
          <w:b/>
        </w:rPr>
      </w:pPr>
    </w:p>
    <w:p w:rsidR="0033702F" w:rsidRDefault="0033702F" w:rsidP="0033702F">
      <w:pPr>
        <w:spacing w:line="19" w:lineRule="atLeast"/>
        <w:ind w:right="-1" w:firstLine="567"/>
        <w:jc w:val="center"/>
        <w:rPr>
          <w:b/>
        </w:rPr>
      </w:pPr>
      <w:r w:rsidRPr="00992A5E">
        <w:rPr>
          <w:b/>
        </w:rPr>
        <w:t>О П Р Е Д Е Л И Л:</w:t>
      </w:r>
    </w:p>
    <w:p w:rsidR="003C5FEA" w:rsidRDefault="003C5FEA" w:rsidP="00B925D1">
      <w:pPr>
        <w:spacing w:line="19" w:lineRule="atLeast"/>
        <w:ind w:right="-1" w:firstLine="567"/>
        <w:jc w:val="both"/>
      </w:pPr>
    </w:p>
    <w:p w:rsidR="00B925D1" w:rsidRDefault="0033702F" w:rsidP="00B925D1">
      <w:pPr>
        <w:spacing w:line="19" w:lineRule="atLeast"/>
        <w:ind w:right="-1" w:firstLine="567"/>
        <w:jc w:val="both"/>
        <w:rPr>
          <w:rStyle w:val="FontStyle14"/>
          <w:sz w:val="24"/>
          <w:szCs w:val="24"/>
        </w:rPr>
      </w:pPr>
      <w:r w:rsidRPr="005E0993">
        <w:t xml:space="preserve">Оставить без движения </w:t>
      </w:r>
      <w:r>
        <w:t>заявление</w:t>
      </w:r>
      <w:r w:rsidRPr="005E0993">
        <w:t xml:space="preserve"> </w:t>
      </w:r>
      <w:r w:rsidR="00B925D1">
        <w:rPr>
          <w:rStyle w:val="FontStyle14"/>
          <w:sz w:val="24"/>
          <w:szCs w:val="24"/>
        </w:rPr>
        <w:t>Прокурора г.Слободзея и Слободзейского района о привлечении к административной ответственности</w:t>
      </w:r>
      <w:r w:rsidR="00B925D1" w:rsidRPr="00976A43">
        <w:rPr>
          <w:rStyle w:val="FontStyle14"/>
          <w:sz w:val="24"/>
          <w:szCs w:val="24"/>
        </w:rPr>
        <w:t xml:space="preserve"> </w:t>
      </w:r>
      <w:r w:rsidR="00B925D1">
        <w:rPr>
          <w:rStyle w:val="FontStyle14"/>
          <w:sz w:val="24"/>
          <w:szCs w:val="24"/>
        </w:rPr>
        <w:t>индивидуального предпринимателя (конкурсного управляющего) Осипова Сергея Ивановича.</w:t>
      </w:r>
    </w:p>
    <w:p w:rsidR="0033702F" w:rsidRDefault="00B925D1" w:rsidP="00B925D1">
      <w:pPr>
        <w:spacing w:line="19" w:lineRule="atLeast"/>
        <w:ind w:right="-1" w:firstLine="567"/>
        <w:jc w:val="both"/>
      </w:pPr>
      <w:r>
        <w:rPr>
          <w:rStyle w:val="FontStyle14"/>
          <w:sz w:val="24"/>
          <w:szCs w:val="24"/>
        </w:rPr>
        <w:t xml:space="preserve"> </w:t>
      </w:r>
      <w:r w:rsidR="008D7949">
        <w:t>Предложить заявителю</w:t>
      </w:r>
      <w:r w:rsidR="0033702F" w:rsidRPr="00094377">
        <w:t xml:space="preserve"> в срок до </w:t>
      </w:r>
      <w:r>
        <w:t xml:space="preserve">09 августа </w:t>
      </w:r>
      <w:r w:rsidR="00CD0E24">
        <w:t>202</w:t>
      </w:r>
      <w:r>
        <w:t>1</w:t>
      </w:r>
      <w:r w:rsidR="00CD0E24">
        <w:t xml:space="preserve"> года </w:t>
      </w:r>
      <w:r w:rsidR="0033702F" w:rsidRPr="00094377">
        <w:t xml:space="preserve">устранить допущенные нарушения. </w:t>
      </w:r>
    </w:p>
    <w:p w:rsidR="0033702F" w:rsidRPr="00094377" w:rsidRDefault="0033702F" w:rsidP="0033702F">
      <w:pPr>
        <w:ind w:right="-1" w:firstLine="567"/>
        <w:jc w:val="both"/>
      </w:pPr>
      <w:r w:rsidRPr="00094377">
        <w:t>Документ</w:t>
      </w:r>
      <w:r w:rsidR="00B925D1">
        <w:t>ы</w:t>
      </w:r>
      <w:r w:rsidRPr="00094377">
        <w:t>, устраняющи</w:t>
      </w:r>
      <w:r w:rsidR="00B925D1">
        <w:t>е</w:t>
      </w:r>
      <w:r w:rsidRPr="00094377">
        <w:t xml:space="preserve"> обстоятельства, послужившие основанием для оставления заявления без движения,</w:t>
      </w:r>
      <w:r w:rsidR="00B925D1">
        <w:t xml:space="preserve"> а также текст заявления на электронном носителе,</w:t>
      </w:r>
      <w:r w:rsidRPr="00094377">
        <w:t xml:space="preserve"> долж</w:t>
      </w:r>
      <w:r w:rsidR="004C1EAA">
        <w:t>н</w:t>
      </w:r>
      <w:r w:rsidR="00B925D1">
        <w:t>ы</w:t>
      </w:r>
      <w:r w:rsidRPr="00094377">
        <w:t xml:space="preserve"> поступить непосредственно в канцелярию Арбитражного суда ПМР не позднее </w:t>
      </w:r>
      <w:r w:rsidRPr="00B925D1">
        <w:rPr>
          <w:b/>
        </w:rPr>
        <w:t>1</w:t>
      </w:r>
      <w:r w:rsidR="00B925D1" w:rsidRPr="00B925D1">
        <w:rPr>
          <w:b/>
        </w:rPr>
        <w:t>2</w:t>
      </w:r>
      <w:r w:rsidR="00CD0E24" w:rsidRPr="00B925D1">
        <w:rPr>
          <w:b/>
        </w:rPr>
        <w:t>:</w:t>
      </w:r>
      <w:r w:rsidR="002D2071" w:rsidRPr="00B925D1">
        <w:rPr>
          <w:b/>
        </w:rPr>
        <w:t>00</w:t>
      </w:r>
      <w:r w:rsidRPr="00B925D1">
        <w:rPr>
          <w:b/>
        </w:rPr>
        <w:t xml:space="preserve"> часов </w:t>
      </w:r>
      <w:r w:rsidR="00B925D1" w:rsidRPr="00B925D1">
        <w:rPr>
          <w:b/>
        </w:rPr>
        <w:t>09 августа</w:t>
      </w:r>
      <w:r w:rsidR="00521797" w:rsidRPr="00B925D1">
        <w:rPr>
          <w:b/>
        </w:rPr>
        <w:t xml:space="preserve"> </w:t>
      </w:r>
      <w:r w:rsidRPr="00B925D1">
        <w:rPr>
          <w:b/>
        </w:rPr>
        <w:t>202</w:t>
      </w:r>
      <w:r w:rsidR="00B925D1" w:rsidRPr="00B925D1">
        <w:rPr>
          <w:b/>
        </w:rPr>
        <w:t>1</w:t>
      </w:r>
      <w:r w:rsidRPr="00B925D1">
        <w:rPr>
          <w:b/>
        </w:rPr>
        <w:t xml:space="preserve"> года.</w:t>
      </w:r>
      <w:r w:rsidRPr="00094377">
        <w:t xml:space="preserve"> </w:t>
      </w:r>
    </w:p>
    <w:p w:rsidR="0033702F" w:rsidRPr="005E0993" w:rsidRDefault="0033702F" w:rsidP="0033702F">
      <w:pPr>
        <w:ind w:right="-1" w:firstLine="567"/>
        <w:jc w:val="both"/>
      </w:pPr>
      <w:r w:rsidRPr="005E0993">
        <w:t xml:space="preserve">Разъяснить </w:t>
      </w:r>
      <w:r>
        <w:t>заявителю</w:t>
      </w:r>
      <w:r w:rsidR="00CD0E24">
        <w:t xml:space="preserve">, что в </w:t>
      </w:r>
      <w:r w:rsidRPr="005E0993">
        <w:t xml:space="preserve">случае, если </w:t>
      </w:r>
      <w:r>
        <w:t xml:space="preserve">указанные в определении </w:t>
      </w:r>
      <w:r w:rsidRPr="005E0993">
        <w:t>недостатк</w:t>
      </w:r>
      <w:r>
        <w:t xml:space="preserve">и </w:t>
      </w:r>
      <w:r w:rsidR="00CD0E24">
        <w:t>не будут</w:t>
      </w:r>
      <w:r w:rsidRPr="005E0993">
        <w:t xml:space="preserve"> </w:t>
      </w:r>
      <w:r>
        <w:t>устране</w:t>
      </w:r>
      <w:r w:rsidRPr="005E0993">
        <w:t xml:space="preserve">ны </w:t>
      </w:r>
      <w:r>
        <w:t>в</w:t>
      </w:r>
      <w:r w:rsidRPr="005E0993">
        <w:t xml:space="preserve"> установленный </w:t>
      </w:r>
      <w:r>
        <w:t xml:space="preserve">судом </w:t>
      </w:r>
      <w:r w:rsidRPr="005E0993">
        <w:t xml:space="preserve">срок, </w:t>
      </w:r>
      <w:r>
        <w:t xml:space="preserve">заявление и приложенные к нему документы будут возвращены </w:t>
      </w:r>
      <w:r w:rsidRPr="005E0993">
        <w:t>в порядке статьи 97 АПК ПМР.</w:t>
      </w:r>
    </w:p>
    <w:p w:rsidR="0033702F" w:rsidRPr="00992A5E" w:rsidRDefault="0033702F" w:rsidP="0033702F">
      <w:pPr>
        <w:ind w:right="-1" w:firstLine="567"/>
        <w:jc w:val="both"/>
      </w:pPr>
    </w:p>
    <w:p w:rsidR="0033702F" w:rsidRPr="00992A5E" w:rsidRDefault="0033702F" w:rsidP="0033702F">
      <w:pPr>
        <w:tabs>
          <w:tab w:val="left" w:pos="715"/>
        </w:tabs>
        <w:autoSpaceDE w:val="0"/>
        <w:autoSpaceDN w:val="0"/>
        <w:adjustRightInd w:val="0"/>
        <w:ind w:right="-1" w:firstLine="567"/>
        <w:jc w:val="both"/>
      </w:pPr>
      <w:r w:rsidRPr="00992A5E">
        <w:t>Определение не обжалуется.</w:t>
      </w: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4E6F7E" w:rsidRDefault="0033702F" w:rsidP="0033702F">
      <w:pPr>
        <w:tabs>
          <w:tab w:val="left" w:pos="715"/>
        </w:tabs>
        <w:autoSpaceDE w:val="0"/>
        <w:autoSpaceDN w:val="0"/>
        <w:adjustRightInd w:val="0"/>
        <w:rPr>
          <w:b/>
        </w:rPr>
      </w:pPr>
      <w:r w:rsidRPr="004E6F7E">
        <w:rPr>
          <w:b/>
        </w:rPr>
        <w:t xml:space="preserve">Судья Арбитражного суда </w:t>
      </w:r>
    </w:p>
    <w:p w:rsidR="0033702F" w:rsidRDefault="0033702F" w:rsidP="0033702F">
      <w:pPr>
        <w:tabs>
          <w:tab w:val="left" w:pos="715"/>
        </w:tabs>
        <w:autoSpaceDE w:val="0"/>
        <w:autoSpaceDN w:val="0"/>
        <w:adjustRightInd w:val="0"/>
      </w:pPr>
      <w:r w:rsidRPr="004E6F7E">
        <w:rPr>
          <w:b/>
        </w:rPr>
        <w:t xml:space="preserve">Приднестровской Молдавской Республики                  </w:t>
      </w:r>
      <w:r w:rsidR="00CD0E24">
        <w:rPr>
          <w:b/>
        </w:rPr>
        <w:t xml:space="preserve">      </w:t>
      </w:r>
      <w:r w:rsidRPr="004E6F7E">
        <w:rPr>
          <w:b/>
        </w:rPr>
        <w:t xml:space="preserve">                      </w:t>
      </w:r>
      <w:r>
        <w:rPr>
          <w:b/>
        </w:rPr>
        <w:t>Е.В.Качуровская</w:t>
      </w:r>
    </w:p>
    <w:p w:rsidR="0033702F" w:rsidRDefault="0033702F" w:rsidP="0033702F"/>
    <w:p w:rsidR="0033702F" w:rsidRDefault="0033702F" w:rsidP="0033702F"/>
    <w:p w:rsidR="0033702F" w:rsidRDefault="0033702F" w:rsidP="0033702F"/>
    <w:p w:rsidR="003C5FEA" w:rsidRDefault="003C5FEA" w:rsidP="0033702F"/>
    <w:p w:rsidR="003C5FEA" w:rsidRDefault="003C5FEA" w:rsidP="0033702F"/>
    <w:p w:rsidR="003C5FEA" w:rsidRDefault="003C5FEA" w:rsidP="0033702F"/>
    <w:p w:rsidR="003C5FEA" w:rsidRDefault="003C5FEA" w:rsidP="0033702F"/>
    <w:p w:rsidR="003C5FEA" w:rsidRDefault="003C5FEA" w:rsidP="0033702F"/>
    <w:p w:rsidR="003C5FEA" w:rsidRDefault="003C5FEA" w:rsidP="0033702F"/>
    <w:p w:rsidR="003C5FEA" w:rsidRDefault="003C5FEA" w:rsidP="0033702F"/>
    <w:p w:rsidR="003C5FEA" w:rsidRDefault="003C5FEA" w:rsidP="0033702F"/>
    <w:p w:rsidR="003C5FEA" w:rsidRDefault="003C5FEA" w:rsidP="0033702F"/>
    <w:p w:rsidR="003C5FEA" w:rsidRDefault="003C5FEA" w:rsidP="0033702F"/>
    <w:sectPr w:rsidR="003C5FEA" w:rsidSect="0088290C">
      <w:footerReference w:type="default" r:id="rId8"/>
      <w:pgSz w:w="11906" w:h="16838"/>
      <w:pgMar w:top="851"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576" w:rsidRDefault="00E84576" w:rsidP="00747910">
      <w:r>
        <w:separator/>
      </w:r>
    </w:p>
  </w:endnote>
  <w:endnote w:type="continuationSeparator" w:id="1">
    <w:p w:rsidR="00E84576" w:rsidRDefault="00E8457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5F4ED4">
    <w:pPr>
      <w:pStyle w:val="a7"/>
      <w:jc w:val="right"/>
    </w:pPr>
    <w:fldSimple w:instr=" PAGE   \* MERGEFORMAT ">
      <w:r w:rsidR="00667B77">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576" w:rsidRDefault="00E84576" w:rsidP="00747910">
      <w:r>
        <w:separator/>
      </w:r>
    </w:p>
  </w:footnote>
  <w:footnote w:type="continuationSeparator" w:id="1">
    <w:p w:rsidR="00E84576" w:rsidRDefault="00E8457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79B2"/>
    <w:multiLevelType w:val="hybridMultilevel"/>
    <w:tmpl w:val="ABD0F04A"/>
    <w:lvl w:ilvl="0" w:tplc="EF786F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0BB1"/>
    <w:rsid w:val="000102F9"/>
    <w:rsid w:val="0002765C"/>
    <w:rsid w:val="00033D24"/>
    <w:rsid w:val="000400F3"/>
    <w:rsid w:val="00061A7B"/>
    <w:rsid w:val="00072B50"/>
    <w:rsid w:val="00073537"/>
    <w:rsid w:val="00074907"/>
    <w:rsid w:val="00075E53"/>
    <w:rsid w:val="00081B5A"/>
    <w:rsid w:val="000A64D9"/>
    <w:rsid w:val="000A7B04"/>
    <w:rsid w:val="000C299C"/>
    <w:rsid w:val="000C4195"/>
    <w:rsid w:val="000C512D"/>
    <w:rsid w:val="000C543C"/>
    <w:rsid w:val="000C64A5"/>
    <w:rsid w:val="000C74AD"/>
    <w:rsid w:val="000D4216"/>
    <w:rsid w:val="000E2438"/>
    <w:rsid w:val="000E2672"/>
    <w:rsid w:val="000E2924"/>
    <w:rsid w:val="000E5906"/>
    <w:rsid w:val="001025FB"/>
    <w:rsid w:val="00102C6F"/>
    <w:rsid w:val="00110342"/>
    <w:rsid w:val="001133E7"/>
    <w:rsid w:val="00120C5E"/>
    <w:rsid w:val="00127071"/>
    <w:rsid w:val="0013095E"/>
    <w:rsid w:val="0013188E"/>
    <w:rsid w:val="0015530D"/>
    <w:rsid w:val="001561C1"/>
    <w:rsid w:val="001620CC"/>
    <w:rsid w:val="001625CD"/>
    <w:rsid w:val="00171FAF"/>
    <w:rsid w:val="001770CB"/>
    <w:rsid w:val="001823B7"/>
    <w:rsid w:val="001850FE"/>
    <w:rsid w:val="00195793"/>
    <w:rsid w:val="0019640D"/>
    <w:rsid w:val="001A1A6F"/>
    <w:rsid w:val="001A48C1"/>
    <w:rsid w:val="001C1B4F"/>
    <w:rsid w:val="001D5874"/>
    <w:rsid w:val="001E218C"/>
    <w:rsid w:val="001E4157"/>
    <w:rsid w:val="001F3C5C"/>
    <w:rsid w:val="00212E13"/>
    <w:rsid w:val="00221F89"/>
    <w:rsid w:val="00226240"/>
    <w:rsid w:val="002407A2"/>
    <w:rsid w:val="002431E5"/>
    <w:rsid w:val="00246584"/>
    <w:rsid w:val="00250EF7"/>
    <w:rsid w:val="0025700C"/>
    <w:rsid w:val="0026059C"/>
    <w:rsid w:val="00267881"/>
    <w:rsid w:val="0027317F"/>
    <w:rsid w:val="00273A5F"/>
    <w:rsid w:val="00275D72"/>
    <w:rsid w:val="002808B8"/>
    <w:rsid w:val="0028313C"/>
    <w:rsid w:val="00286C88"/>
    <w:rsid w:val="002935E2"/>
    <w:rsid w:val="00295DA5"/>
    <w:rsid w:val="002B05B4"/>
    <w:rsid w:val="002B36F7"/>
    <w:rsid w:val="002D2071"/>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3B7B42"/>
    <w:rsid w:val="003C5FEA"/>
    <w:rsid w:val="003E15BE"/>
    <w:rsid w:val="003E456B"/>
    <w:rsid w:val="003F6DCE"/>
    <w:rsid w:val="00410251"/>
    <w:rsid w:val="00416AA6"/>
    <w:rsid w:val="00424065"/>
    <w:rsid w:val="0042654C"/>
    <w:rsid w:val="00435D1A"/>
    <w:rsid w:val="00444EB1"/>
    <w:rsid w:val="004605D2"/>
    <w:rsid w:val="00460E9E"/>
    <w:rsid w:val="004712D9"/>
    <w:rsid w:val="00471363"/>
    <w:rsid w:val="004773FE"/>
    <w:rsid w:val="0048795F"/>
    <w:rsid w:val="004A01C7"/>
    <w:rsid w:val="004A7283"/>
    <w:rsid w:val="004B0F41"/>
    <w:rsid w:val="004B1ACD"/>
    <w:rsid w:val="004C1EAA"/>
    <w:rsid w:val="004C56EA"/>
    <w:rsid w:val="004C701C"/>
    <w:rsid w:val="004D052C"/>
    <w:rsid w:val="004D38A6"/>
    <w:rsid w:val="004F7B6D"/>
    <w:rsid w:val="00503FA0"/>
    <w:rsid w:val="0051667D"/>
    <w:rsid w:val="00516DB6"/>
    <w:rsid w:val="00521797"/>
    <w:rsid w:val="005237A0"/>
    <w:rsid w:val="00527E4B"/>
    <w:rsid w:val="0053648F"/>
    <w:rsid w:val="0057381C"/>
    <w:rsid w:val="00576ABA"/>
    <w:rsid w:val="00592802"/>
    <w:rsid w:val="005A6736"/>
    <w:rsid w:val="005B5914"/>
    <w:rsid w:val="005E3BA1"/>
    <w:rsid w:val="005F4ED4"/>
    <w:rsid w:val="00622DFF"/>
    <w:rsid w:val="00624A85"/>
    <w:rsid w:val="006251BA"/>
    <w:rsid w:val="00625EB9"/>
    <w:rsid w:val="00627EC2"/>
    <w:rsid w:val="0063082F"/>
    <w:rsid w:val="00637C39"/>
    <w:rsid w:val="00637EFE"/>
    <w:rsid w:val="00654412"/>
    <w:rsid w:val="006573F5"/>
    <w:rsid w:val="006610C5"/>
    <w:rsid w:val="00663824"/>
    <w:rsid w:val="00667B77"/>
    <w:rsid w:val="00694E57"/>
    <w:rsid w:val="006B32AD"/>
    <w:rsid w:val="006C6D2B"/>
    <w:rsid w:val="006D3846"/>
    <w:rsid w:val="006D5BB2"/>
    <w:rsid w:val="006E570D"/>
    <w:rsid w:val="0070107B"/>
    <w:rsid w:val="00707DB2"/>
    <w:rsid w:val="00710036"/>
    <w:rsid w:val="00717526"/>
    <w:rsid w:val="00717C09"/>
    <w:rsid w:val="00723729"/>
    <w:rsid w:val="00735184"/>
    <w:rsid w:val="00737679"/>
    <w:rsid w:val="00737D17"/>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173F"/>
    <w:rsid w:val="007E477A"/>
    <w:rsid w:val="00804721"/>
    <w:rsid w:val="008105F1"/>
    <w:rsid w:val="00813A13"/>
    <w:rsid w:val="00815288"/>
    <w:rsid w:val="00817F7D"/>
    <w:rsid w:val="00825992"/>
    <w:rsid w:val="008273B9"/>
    <w:rsid w:val="00827EC9"/>
    <w:rsid w:val="00831F68"/>
    <w:rsid w:val="00833454"/>
    <w:rsid w:val="00851533"/>
    <w:rsid w:val="00856119"/>
    <w:rsid w:val="00861ECF"/>
    <w:rsid w:val="00862B73"/>
    <w:rsid w:val="00873966"/>
    <w:rsid w:val="00881B82"/>
    <w:rsid w:val="0088290C"/>
    <w:rsid w:val="00894E49"/>
    <w:rsid w:val="00895F84"/>
    <w:rsid w:val="008A11D6"/>
    <w:rsid w:val="008B2FB0"/>
    <w:rsid w:val="008B6043"/>
    <w:rsid w:val="008D3161"/>
    <w:rsid w:val="008D6861"/>
    <w:rsid w:val="008D7949"/>
    <w:rsid w:val="008E39E2"/>
    <w:rsid w:val="008E3EE1"/>
    <w:rsid w:val="008E528C"/>
    <w:rsid w:val="008F2A5A"/>
    <w:rsid w:val="008F4BE4"/>
    <w:rsid w:val="00900716"/>
    <w:rsid w:val="0090265F"/>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1EFE"/>
    <w:rsid w:val="009B4739"/>
    <w:rsid w:val="009C1B09"/>
    <w:rsid w:val="009D2111"/>
    <w:rsid w:val="009E736F"/>
    <w:rsid w:val="00A032B6"/>
    <w:rsid w:val="00A05DC6"/>
    <w:rsid w:val="00A13A68"/>
    <w:rsid w:val="00A24316"/>
    <w:rsid w:val="00A31FA6"/>
    <w:rsid w:val="00A374C4"/>
    <w:rsid w:val="00A40EA5"/>
    <w:rsid w:val="00A42F10"/>
    <w:rsid w:val="00A47391"/>
    <w:rsid w:val="00A478F2"/>
    <w:rsid w:val="00A654E1"/>
    <w:rsid w:val="00A66C33"/>
    <w:rsid w:val="00A715F4"/>
    <w:rsid w:val="00A95030"/>
    <w:rsid w:val="00AA1BC9"/>
    <w:rsid w:val="00AA20B7"/>
    <w:rsid w:val="00AA2BDC"/>
    <w:rsid w:val="00AA2C1D"/>
    <w:rsid w:val="00AA64E8"/>
    <w:rsid w:val="00AB326C"/>
    <w:rsid w:val="00AC1242"/>
    <w:rsid w:val="00AC552C"/>
    <w:rsid w:val="00AC6E73"/>
    <w:rsid w:val="00AC7008"/>
    <w:rsid w:val="00AD2FDC"/>
    <w:rsid w:val="00AE51C6"/>
    <w:rsid w:val="00AF591D"/>
    <w:rsid w:val="00B0074F"/>
    <w:rsid w:val="00B14971"/>
    <w:rsid w:val="00B23A75"/>
    <w:rsid w:val="00B368B6"/>
    <w:rsid w:val="00B40322"/>
    <w:rsid w:val="00B558B7"/>
    <w:rsid w:val="00B650E0"/>
    <w:rsid w:val="00B662F3"/>
    <w:rsid w:val="00B70712"/>
    <w:rsid w:val="00B758CC"/>
    <w:rsid w:val="00B86774"/>
    <w:rsid w:val="00B925D1"/>
    <w:rsid w:val="00B963C0"/>
    <w:rsid w:val="00B96F15"/>
    <w:rsid w:val="00BA07E1"/>
    <w:rsid w:val="00BB2042"/>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0E24"/>
    <w:rsid w:val="00CD7604"/>
    <w:rsid w:val="00D076AB"/>
    <w:rsid w:val="00D26988"/>
    <w:rsid w:val="00D30E82"/>
    <w:rsid w:val="00D3592B"/>
    <w:rsid w:val="00D54A1E"/>
    <w:rsid w:val="00D813D9"/>
    <w:rsid w:val="00D92379"/>
    <w:rsid w:val="00D96E34"/>
    <w:rsid w:val="00D974C2"/>
    <w:rsid w:val="00D97DC4"/>
    <w:rsid w:val="00DA4BE7"/>
    <w:rsid w:val="00DA4F00"/>
    <w:rsid w:val="00DB10FB"/>
    <w:rsid w:val="00DC1560"/>
    <w:rsid w:val="00DC35B8"/>
    <w:rsid w:val="00DC4651"/>
    <w:rsid w:val="00DE0848"/>
    <w:rsid w:val="00DE5B6A"/>
    <w:rsid w:val="00DE5F7C"/>
    <w:rsid w:val="00DE63A6"/>
    <w:rsid w:val="00E044C1"/>
    <w:rsid w:val="00E044DC"/>
    <w:rsid w:val="00E04D74"/>
    <w:rsid w:val="00E06248"/>
    <w:rsid w:val="00E24766"/>
    <w:rsid w:val="00E265BC"/>
    <w:rsid w:val="00E30446"/>
    <w:rsid w:val="00E30EB2"/>
    <w:rsid w:val="00E325E9"/>
    <w:rsid w:val="00E37FF1"/>
    <w:rsid w:val="00E60066"/>
    <w:rsid w:val="00E6678D"/>
    <w:rsid w:val="00E67E5E"/>
    <w:rsid w:val="00E70527"/>
    <w:rsid w:val="00E70BE0"/>
    <w:rsid w:val="00E77BBB"/>
    <w:rsid w:val="00E805B7"/>
    <w:rsid w:val="00E81AC1"/>
    <w:rsid w:val="00E83978"/>
    <w:rsid w:val="00E84576"/>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146F"/>
    <w:rsid w:val="00F253A2"/>
    <w:rsid w:val="00F4149D"/>
    <w:rsid w:val="00F44AE4"/>
    <w:rsid w:val="00F64381"/>
    <w:rsid w:val="00F72C4D"/>
    <w:rsid w:val="00F733B0"/>
    <w:rsid w:val="00F73A7E"/>
    <w:rsid w:val="00F77413"/>
    <w:rsid w:val="00F84115"/>
    <w:rsid w:val="00F855C0"/>
    <w:rsid w:val="00F91F64"/>
    <w:rsid w:val="00FA6E55"/>
    <w:rsid w:val="00FB17DB"/>
    <w:rsid w:val="00FD5C89"/>
    <w:rsid w:val="00FE18AF"/>
    <w:rsid w:val="00FE44C7"/>
    <w:rsid w:val="00FF1C0F"/>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894E49"/>
    <w:pPr>
      <w:ind w:left="720"/>
      <w:contextualSpacing/>
    </w:p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10</cp:revision>
  <cp:lastPrinted>2021-07-29T05:30:00Z</cp:lastPrinted>
  <dcterms:created xsi:type="dcterms:W3CDTF">2021-07-28T12:58:00Z</dcterms:created>
  <dcterms:modified xsi:type="dcterms:W3CDTF">2021-07-29T05:30:00Z</dcterms:modified>
</cp:coreProperties>
</file>