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F043CB" w:rsidP="00650A0A">
      <w:pPr>
        <w:tabs>
          <w:tab w:val="left" w:pos="750"/>
        </w:tabs>
        <w:ind w:right="367"/>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650A0A">
            <w:pPr>
              <w:ind w:right="367"/>
              <w:jc w:val="right"/>
              <w:rPr>
                <w:rFonts w:eastAsia="Calibri"/>
                <w:color w:val="000000"/>
                <w:sz w:val="20"/>
                <w:szCs w:val="20"/>
              </w:rPr>
            </w:pPr>
          </w:p>
        </w:tc>
      </w:tr>
    </w:tbl>
    <w:p w:rsidR="00F253A2" w:rsidRDefault="00991CBB" w:rsidP="00650A0A">
      <w:pPr>
        <w:tabs>
          <w:tab w:val="left" w:pos="720"/>
          <w:tab w:val="left" w:pos="1797"/>
        </w:tabs>
        <w:ind w:right="367"/>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650A0A">
      <w:pPr>
        <w:ind w:right="367"/>
        <w:rPr>
          <w:b/>
          <w:color w:val="5F5F5F"/>
          <w:sz w:val="18"/>
          <w:szCs w:val="18"/>
          <w:lang w:val="en-US"/>
        </w:rPr>
      </w:pPr>
    </w:p>
    <w:p w:rsidR="007F6115" w:rsidRPr="00991CBB" w:rsidRDefault="007F6115" w:rsidP="00650A0A">
      <w:pPr>
        <w:ind w:right="367"/>
        <w:jc w:val="center"/>
        <w:rPr>
          <w:b/>
          <w:sz w:val="20"/>
          <w:szCs w:val="20"/>
          <w:lang w:val="en-US"/>
        </w:rPr>
      </w:pPr>
    </w:p>
    <w:p w:rsidR="00F253A2" w:rsidRPr="00CA1791" w:rsidRDefault="007F6115" w:rsidP="00650A0A">
      <w:pPr>
        <w:tabs>
          <w:tab w:val="left" w:pos="465"/>
          <w:tab w:val="left" w:pos="675"/>
          <w:tab w:val="center" w:pos="5074"/>
        </w:tabs>
        <w:ind w:right="367"/>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650A0A">
      <w:pPr>
        <w:ind w:right="367"/>
        <w:jc w:val="center"/>
        <w:rPr>
          <w:b/>
          <w:sz w:val="28"/>
          <w:szCs w:val="28"/>
          <w:lang w:val="en-US"/>
        </w:rPr>
      </w:pPr>
    </w:p>
    <w:p w:rsidR="00212E13" w:rsidRPr="001823B7" w:rsidRDefault="00212E13" w:rsidP="00650A0A">
      <w:pPr>
        <w:ind w:right="367"/>
        <w:jc w:val="center"/>
        <w:rPr>
          <w:b/>
          <w:sz w:val="28"/>
          <w:szCs w:val="28"/>
        </w:rPr>
      </w:pPr>
      <w:r w:rsidRPr="001823B7">
        <w:rPr>
          <w:b/>
          <w:sz w:val="28"/>
          <w:szCs w:val="28"/>
        </w:rPr>
        <w:t>АРБИТРАЖНЫЙ СУД</w:t>
      </w:r>
    </w:p>
    <w:p w:rsidR="00A032B6" w:rsidRPr="001823B7" w:rsidRDefault="00A032B6" w:rsidP="00650A0A">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650A0A">
      <w:pPr>
        <w:ind w:left="-181" w:right="367"/>
        <w:jc w:val="center"/>
        <w:rPr>
          <w:sz w:val="20"/>
          <w:szCs w:val="20"/>
        </w:rPr>
      </w:pPr>
    </w:p>
    <w:p w:rsidR="00212E13" w:rsidRPr="001823B7" w:rsidRDefault="00212E13" w:rsidP="00650A0A">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650A0A">
      <w:pPr>
        <w:ind w:left="-181" w:right="367"/>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650A0A">
      <w:pPr>
        <w:ind w:left="-181" w:right="367"/>
        <w:jc w:val="center"/>
        <w:rPr>
          <w:color w:val="5F5F5F"/>
          <w:sz w:val="12"/>
          <w:szCs w:val="12"/>
        </w:rPr>
      </w:pPr>
    </w:p>
    <w:p w:rsidR="00A032B6" w:rsidRDefault="001823B7" w:rsidP="00650A0A">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650A0A">
      <w:pPr>
        <w:ind w:left="-181" w:right="367"/>
        <w:jc w:val="center"/>
        <w:rPr>
          <w:b/>
          <w:sz w:val="16"/>
          <w:szCs w:val="16"/>
          <w:u w:val="single"/>
        </w:rPr>
      </w:pPr>
    </w:p>
    <w:p w:rsidR="001823B7" w:rsidRPr="00E90DB1" w:rsidRDefault="00E90DB1" w:rsidP="00650A0A">
      <w:pPr>
        <w:ind w:left="-181" w:right="367"/>
        <w:jc w:val="center"/>
        <w:rPr>
          <w:b/>
        </w:rPr>
      </w:pPr>
      <w:r>
        <w:rPr>
          <w:b/>
        </w:rPr>
        <w:t>О П Р Е Д Е Л Е Н И Е</w:t>
      </w:r>
    </w:p>
    <w:p w:rsidR="006A5E49" w:rsidRPr="001823B7" w:rsidRDefault="006A5E49" w:rsidP="00650A0A">
      <w:pPr>
        <w:ind w:left="-181" w:right="367"/>
        <w:jc w:val="center"/>
        <w:rPr>
          <w:b/>
        </w:rPr>
      </w:pPr>
      <w:r>
        <w:rPr>
          <w:b/>
        </w:rPr>
        <w:t>об отложении рассмотрения дела</w:t>
      </w:r>
    </w:p>
    <w:p w:rsidR="00E37C05" w:rsidRPr="006A5E49" w:rsidRDefault="00E37C05" w:rsidP="00650A0A">
      <w:pPr>
        <w:ind w:left="-181" w:right="367"/>
        <w:jc w:val="center"/>
        <w:rPr>
          <w:b/>
          <w:sz w:val="16"/>
          <w:szCs w:val="16"/>
        </w:rPr>
      </w:pPr>
    </w:p>
    <w:p w:rsidR="00E90DB1" w:rsidRDefault="00E90DB1" w:rsidP="00650A0A">
      <w:pPr>
        <w:ind w:left="-181" w:right="367"/>
        <w:jc w:val="center"/>
        <w:rPr>
          <w:b/>
          <w:sz w:val="16"/>
          <w:szCs w:val="16"/>
        </w:rPr>
      </w:pPr>
    </w:p>
    <w:p w:rsidR="00E90DB1" w:rsidRPr="0051667D" w:rsidRDefault="00E90DB1" w:rsidP="00650A0A">
      <w:pPr>
        <w:ind w:left="-181" w:right="367"/>
        <w:jc w:val="center"/>
        <w:rPr>
          <w:b/>
          <w:sz w:val="16"/>
          <w:szCs w:val="16"/>
        </w:rPr>
      </w:pPr>
    </w:p>
    <w:p w:rsidR="00717526" w:rsidRPr="0051667D" w:rsidRDefault="00717526" w:rsidP="00650A0A">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85A7C" w:rsidRDefault="00435D1A" w:rsidP="0013015F">
            <w:pPr>
              <w:ind w:left="-108" w:right="367"/>
              <w:rPr>
                <w:rFonts w:eastAsia="Calibri"/>
                <w:bCs/>
              </w:rPr>
            </w:pPr>
            <w:r w:rsidRPr="00F043CB">
              <w:rPr>
                <w:rFonts w:eastAsia="Calibri"/>
                <w:u w:val="single"/>
              </w:rPr>
              <w:t>«</w:t>
            </w:r>
            <w:r w:rsidR="00F043CB" w:rsidRPr="00F043CB">
              <w:rPr>
                <w:rFonts w:eastAsia="Calibri"/>
                <w:u w:val="single"/>
              </w:rPr>
              <w:t>15</w:t>
            </w:r>
            <w:r w:rsidRPr="00F043CB">
              <w:rPr>
                <w:rFonts w:eastAsia="Calibri"/>
                <w:u w:val="single"/>
              </w:rPr>
              <w:t>»</w:t>
            </w:r>
            <w:r w:rsidR="00DD17BA" w:rsidRPr="00F043CB">
              <w:rPr>
                <w:rFonts w:eastAsia="Calibri"/>
                <w:u w:val="single"/>
              </w:rPr>
              <w:t xml:space="preserve"> </w:t>
            </w:r>
            <w:r w:rsidR="00485A7C" w:rsidRPr="00F043CB">
              <w:rPr>
                <w:rFonts w:eastAsia="Calibri"/>
                <w:u w:val="single"/>
                <w:lang w:val="en-US"/>
              </w:rPr>
              <w:t xml:space="preserve"> </w:t>
            </w:r>
            <w:r w:rsidR="00F043CB" w:rsidRPr="00F043CB">
              <w:rPr>
                <w:rFonts w:eastAsia="Calibri"/>
                <w:u w:val="single"/>
              </w:rPr>
              <w:t>июня</w:t>
            </w:r>
            <w:r w:rsidR="00DD17BA">
              <w:rPr>
                <w:rFonts w:eastAsia="Calibri"/>
                <w:u w:val="single"/>
              </w:rPr>
              <w:t xml:space="preserve"> </w:t>
            </w:r>
            <w:r w:rsidR="00485A7C">
              <w:rPr>
                <w:rFonts w:eastAsia="Calibri"/>
                <w:u w:val="single"/>
              </w:rPr>
              <w:t xml:space="preserve"> </w:t>
            </w:r>
            <w:r w:rsidRPr="00485A7C">
              <w:rPr>
                <w:rFonts w:eastAsia="Calibri"/>
                <w:bCs/>
                <w:u w:val="single"/>
              </w:rPr>
              <w:t>20</w:t>
            </w:r>
            <w:r w:rsidR="00DD17BA">
              <w:rPr>
                <w:rFonts w:eastAsia="Calibri"/>
                <w:bCs/>
                <w:u w:val="single"/>
              </w:rPr>
              <w:t>2</w:t>
            </w:r>
            <w:r w:rsidR="00F043CB">
              <w:rPr>
                <w:rFonts w:eastAsia="Calibri"/>
                <w:bCs/>
                <w:u w:val="single"/>
              </w:rPr>
              <w:t>1</w:t>
            </w:r>
            <w:r w:rsidR="00485A7C">
              <w:rPr>
                <w:rFonts w:eastAsia="Calibri"/>
                <w:bCs/>
                <w:u w:val="single"/>
              </w:rPr>
              <w:t xml:space="preserve"> </w:t>
            </w:r>
            <w:r w:rsidRPr="00485A7C">
              <w:rPr>
                <w:rFonts w:eastAsia="Calibri"/>
                <w:bCs/>
                <w:u w:val="single"/>
              </w:rPr>
              <w:t>г</w:t>
            </w:r>
            <w:r w:rsidR="000B5210">
              <w:rPr>
                <w:rFonts w:eastAsia="Calibri"/>
                <w:bCs/>
                <w:u w:val="single"/>
              </w:rPr>
              <w:t>ода</w:t>
            </w:r>
          </w:p>
        </w:tc>
        <w:tc>
          <w:tcPr>
            <w:tcW w:w="4971" w:type="dxa"/>
            <w:gridSpan w:val="3"/>
          </w:tcPr>
          <w:p w:rsidR="00435D1A" w:rsidRPr="00485A7C" w:rsidRDefault="00435D1A" w:rsidP="00F043CB">
            <w:pPr>
              <w:ind w:right="367"/>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F043CB">
              <w:rPr>
                <w:rFonts w:eastAsia="Calibri"/>
                <w:bCs/>
                <w:u w:val="single"/>
              </w:rPr>
              <w:t xml:space="preserve">Дело </w:t>
            </w:r>
            <w:r w:rsidRPr="00F043CB">
              <w:rPr>
                <w:rFonts w:eastAsia="Calibri"/>
                <w:u w:val="single"/>
              </w:rPr>
              <w:t>№</w:t>
            </w:r>
            <w:r w:rsidR="00F043CB" w:rsidRPr="00F043CB">
              <w:rPr>
                <w:rFonts w:eastAsia="Calibri"/>
                <w:u w:val="single"/>
              </w:rPr>
              <w:t>388</w:t>
            </w:r>
            <w:r w:rsidR="000B5210">
              <w:rPr>
                <w:rFonts w:eastAsia="Calibri"/>
                <w:u w:val="single"/>
              </w:rPr>
              <w:t>/</w:t>
            </w:r>
            <w:r w:rsidR="00DD17BA">
              <w:rPr>
                <w:rFonts w:eastAsia="Calibri"/>
                <w:u w:val="single"/>
              </w:rPr>
              <w:t>2</w:t>
            </w:r>
            <w:r w:rsidR="00F043CB">
              <w:rPr>
                <w:rFonts w:eastAsia="Calibri"/>
                <w:u w:val="single"/>
              </w:rPr>
              <w:t>1</w:t>
            </w:r>
            <w:r w:rsidR="00485A7C">
              <w:rPr>
                <w:rFonts w:eastAsia="Calibri"/>
                <w:u w:val="single"/>
              </w:rPr>
              <w:t>-</w:t>
            </w:r>
            <w:r w:rsidR="00DD17BA">
              <w:rPr>
                <w:rFonts w:eastAsia="Calibri"/>
                <w:u w:val="single"/>
              </w:rPr>
              <w:t>02</w:t>
            </w:r>
          </w:p>
        </w:tc>
      </w:tr>
      <w:tr w:rsidR="00717526" w:rsidRPr="001823B7" w:rsidTr="00435D1A">
        <w:tc>
          <w:tcPr>
            <w:tcW w:w="1199" w:type="dxa"/>
          </w:tcPr>
          <w:p w:rsidR="00F64381" w:rsidRPr="00485A7C" w:rsidRDefault="00F64381" w:rsidP="00650A0A">
            <w:pPr>
              <w:ind w:right="367"/>
              <w:rPr>
                <w:rFonts w:eastAsia="Calibri"/>
                <w:b/>
                <w:bCs/>
              </w:rPr>
            </w:pPr>
          </w:p>
        </w:tc>
        <w:tc>
          <w:tcPr>
            <w:tcW w:w="1418" w:type="dxa"/>
            <w:gridSpan w:val="4"/>
          </w:tcPr>
          <w:p w:rsidR="00F64381" w:rsidRPr="00485A7C" w:rsidRDefault="00F64381" w:rsidP="00650A0A">
            <w:pPr>
              <w:ind w:right="367"/>
              <w:rPr>
                <w:rFonts w:eastAsia="Calibri"/>
                <w:b/>
                <w:bCs/>
              </w:rPr>
            </w:pPr>
          </w:p>
        </w:tc>
        <w:tc>
          <w:tcPr>
            <w:tcW w:w="838" w:type="dxa"/>
          </w:tcPr>
          <w:p w:rsidR="00F64381" w:rsidRPr="00485A7C" w:rsidRDefault="00F64381" w:rsidP="00650A0A">
            <w:pPr>
              <w:ind w:right="367"/>
              <w:rPr>
                <w:rFonts w:eastAsia="Calibri"/>
                <w:b/>
                <w:bCs/>
              </w:rPr>
            </w:pPr>
          </w:p>
        </w:tc>
        <w:tc>
          <w:tcPr>
            <w:tcW w:w="3577" w:type="dxa"/>
            <w:gridSpan w:val="2"/>
          </w:tcPr>
          <w:p w:rsidR="00F64381" w:rsidRPr="00485A7C" w:rsidRDefault="00F64381" w:rsidP="00650A0A">
            <w:pPr>
              <w:tabs>
                <w:tab w:val="center" w:pos="1805"/>
              </w:tabs>
              <w:ind w:right="367"/>
              <w:jc w:val="center"/>
              <w:rPr>
                <w:rFonts w:eastAsia="Calibri"/>
                <w:bCs/>
              </w:rPr>
            </w:pPr>
          </w:p>
        </w:tc>
        <w:tc>
          <w:tcPr>
            <w:tcW w:w="2891" w:type="dxa"/>
            <w:gridSpan w:val="2"/>
          </w:tcPr>
          <w:p w:rsidR="00F64381" w:rsidRPr="00485A7C" w:rsidRDefault="00F64381" w:rsidP="00650A0A">
            <w:pPr>
              <w:ind w:right="367"/>
              <w:rPr>
                <w:rFonts w:eastAsia="Calibri"/>
                <w:b/>
                <w:bCs/>
              </w:rPr>
            </w:pPr>
          </w:p>
        </w:tc>
      </w:tr>
      <w:tr w:rsidR="0051667D" w:rsidRPr="001823B7" w:rsidTr="00435D1A">
        <w:tc>
          <w:tcPr>
            <w:tcW w:w="1985" w:type="dxa"/>
            <w:gridSpan w:val="2"/>
          </w:tcPr>
          <w:p w:rsidR="008273B9" w:rsidRPr="00485A7C" w:rsidRDefault="001823B7" w:rsidP="00650A0A">
            <w:pPr>
              <w:ind w:right="367"/>
              <w:rPr>
                <w:rFonts w:eastAsia="Calibri"/>
                <w:b/>
                <w:bCs/>
              </w:rPr>
            </w:pPr>
            <w:r w:rsidRPr="00485A7C">
              <w:rPr>
                <w:rFonts w:eastAsia="Calibri"/>
                <w:bCs/>
              </w:rPr>
              <w:t>г. Тирасполь</w:t>
            </w:r>
          </w:p>
        </w:tc>
        <w:tc>
          <w:tcPr>
            <w:tcW w:w="283" w:type="dxa"/>
          </w:tcPr>
          <w:p w:rsidR="008273B9" w:rsidRPr="00485A7C" w:rsidRDefault="008273B9" w:rsidP="00650A0A">
            <w:pPr>
              <w:ind w:right="367"/>
              <w:rPr>
                <w:rFonts w:eastAsia="Calibri"/>
                <w:b/>
                <w:bCs/>
              </w:rPr>
            </w:pPr>
          </w:p>
        </w:tc>
        <w:tc>
          <w:tcPr>
            <w:tcW w:w="284" w:type="dxa"/>
          </w:tcPr>
          <w:p w:rsidR="008273B9" w:rsidRPr="00485A7C" w:rsidRDefault="008273B9" w:rsidP="00650A0A">
            <w:pPr>
              <w:ind w:right="367"/>
              <w:jc w:val="center"/>
              <w:rPr>
                <w:rFonts w:eastAsia="Calibri"/>
                <w:b/>
                <w:bCs/>
              </w:rPr>
            </w:pPr>
          </w:p>
        </w:tc>
        <w:tc>
          <w:tcPr>
            <w:tcW w:w="4587" w:type="dxa"/>
            <w:gridSpan w:val="5"/>
          </w:tcPr>
          <w:p w:rsidR="008273B9" w:rsidRPr="00485A7C" w:rsidRDefault="008273B9" w:rsidP="00650A0A">
            <w:pPr>
              <w:ind w:right="367"/>
              <w:jc w:val="center"/>
              <w:rPr>
                <w:rFonts w:eastAsia="Calibri"/>
                <w:b/>
                <w:bCs/>
              </w:rPr>
            </w:pPr>
          </w:p>
        </w:tc>
        <w:tc>
          <w:tcPr>
            <w:tcW w:w="2784" w:type="dxa"/>
          </w:tcPr>
          <w:p w:rsidR="008273B9" w:rsidRPr="00485A7C" w:rsidRDefault="008273B9" w:rsidP="00650A0A">
            <w:pPr>
              <w:ind w:right="367"/>
              <w:rPr>
                <w:rFonts w:eastAsia="Calibri"/>
                <w:b/>
                <w:bCs/>
              </w:rPr>
            </w:pPr>
          </w:p>
        </w:tc>
      </w:tr>
      <w:tr w:rsidR="00717526" w:rsidRPr="001823B7" w:rsidTr="00435D1A">
        <w:tc>
          <w:tcPr>
            <w:tcW w:w="1199" w:type="dxa"/>
          </w:tcPr>
          <w:p w:rsidR="00485A7C" w:rsidRPr="00485A7C" w:rsidRDefault="00485A7C" w:rsidP="00650A0A">
            <w:pPr>
              <w:ind w:right="367"/>
              <w:rPr>
                <w:rFonts w:eastAsia="Calibri"/>
                <w:b/>
                <w:bCs/>
              </w:rPr>
            </w:pPr>
          </w:p>
        </w:tc>
        <w:tc>
          <w:tcPr>
            <w:tcW w:w="1418" w:type="dxa"/>
            <w:gridSpan w:val="4"/>
          </w:tcPr>
          <w:p w:rsidR="008273B9" w:rsidRPr="00485A7C" w:rsidRDefault="008273B9" w:rsidP="00650A0A">
            <w:pPr>
              <w:ind w:right="367"/>
              <w:rPr>
                <w:rFonts w:eastAsia="Calibri"/>
                <w:b/>
                <w:bCs/>
              </w:rPr>
            </w:pPr>
          </w:p>
        </w:tc>
        <w:tc>
          <w:tcPr>
            <w:tcW w:w="838" w:type="dxa"/>
          </w:tcPr>
          <w:p w:rsidR="008273B9" w:rsidRPr="00485A7C" w:rsidRDefault="008273B9" w:rsidP="00650A0A">
            <w:pPr>
              <w:ind w:right="367"/>
              <w:rPr>
                <w:rFonts w:eastAsia="Calibri"/>
                <w:b/>
                <w:bCs/>
              </w:rPr>
            </w:pPr>
          </w:p>
        </w:tc>
        <w:tc>
          <w:tcPr>
            <w:tcW w:w="3577" w:type="dxa"/>
            <w:gridSpan w:val="2"/>
          </w:tcPr>
          <w:p w:rsidR="008273B9" w:rsidRPr="00485A7C" w:rsidRDefault="008273B9" w:rsidP="00650A0A">
            <w:pPr>
              <w:ind w:right="367"/>
              <w:rPr>
                <w:rFonts w:eastAsia="Calibri"/>
                <w:b/>
                <w:bCs/>
              </w:rPr>
            </w:pPr>
          </w:p>
        </w:tc>
        <w:tc>
          <w:tcPr>
            <w:tcW w:w="2891" w:type="dxa"/>
            <w:gridSpan w:val="2"/>
          </w:tcPr>
          <w:p w:rsidR="008273B9" w:rsidRPr="00485A7C" w:rsidRDefault="008273B9" w:rsidP="00650A0A">
            <w:pPr>
              <w:ind w:right="367"/>
              <w:rPr>
                <w:rFonts w:eastAsia="Calibri"/>
                <w:b/>
                <w:bCs/>
              </w:rPr>
            </w:pPr>
          </w:p>
        </w:tc>
      </w:tr>
      <w:tr w:rsidR="0051667D" w:rsidRPr="001823B7" w:rsidTr="00435D1A">
        <w:tc>
          <w:tcPr>
            <w:tcW w:w="1199" w:type="dxa"/>
          </w:tcPr>
          <w:p w:rsidR="008273B9" w:rsidRPr="001823B7" w:rsidRDefault="008273B9" w:rsidP="00650A0A">
            <w:pPr>
              <w:ind w:right="367"/>
              <w:rPr>
                <w:rFonts w:eastAsia="Calibri"/>
                <w:b/>
                <w:bCs/>
                <w:sz w:val="20"/>
                <w:szCs w:val="20"/>
              </w:rPr>
            </w:pPr>
          </w:p>
        </w:tc>
        <w:tc>
          <w:tcPr>
            <w:tcW w:w="1418" w:type="dxa"/>
            <w:gridSpan w:val="4"/>
          </w:tcPr>
          <w:p w:rsidR="008273B9" w:rsidRPr="001823B7" w:rsidRDefault="008273B9" w:rsidP="00650A0A">
            <w:pPr>
              <w:ind w:right="367"/>
              <w:rPr>
                <w:rFonts w:eastAsia="Calibri"/>
                <w:b/>
                <w:bCs/>
                <w:sz w:val="20"/>
                <w:szCs w:val="20"/>
              </w:rPr>
            </w:pPr>
          </w:p>
        </w:tc>
        <w:tc>
          <w:tcPr>
            <w:tcW w:w="838" w:type="dxa"/>
          </w:tcPr>
          <w:p w:rsidR="008273B9" w:rsidRPr="001823B7" w:rsidRDefault="008273B9" w:rsidP="00650A0A">
            <w:pPr>
              <w:ind w:right="367"/>
              <w:rPr>
                <w:rFonts w:eastAsia="Calibri"/>
                <w:b/>
                <w:bCs/>
                <w:sz w:val="20"/>
                <w:szCs w:val="20"/>
              </w:rPr>
            </w:pPr>
          </w:p>
        </w:tc>
        <w:tc>
          <w:tcPr>
            <w:tcW w:w="3577" w:type="dxa"/>
            <w:gridSpan w:val="2"/>
          </w:tcPr>
          <w:p w:rsidR="008273B9" w:rsidRPr="001823B7" w:rsidRDefault="008273B9" w:rsidP="00650A0A">
            <w:pPr>
              <w:ind w:right="367"/>
              <w:rPr>
                <w:rFonts w:eastAsia="Calibri"/>
                <w:b/>
                <w:bCs/>
                <w:sz w:val="20"/>
                <w:szCs w:val="20"/>
              </w:rPr>
            </w:pPr>
          </w:p>
        </w:tc>
        <w:tc>
          <w:tcPr>
            <w:tcW w:w="2891" w:type="dxa"/>
            <w:gridSpan w:val="2"/>
          </w:tcPr>
          <w:p w:rsidR="008273B9" w:rsidRPr="001823B7" w:rsidRDefault="008273B9" w:rsidP="00650A0A">
            <w:pPr>
              <w:ind w:right="367"/>
              <w:rPr>
                <w:rFonts w:eastAsia="Calibri"/>
                <w:b/>
                <w:bCs/>
                <w:sz w:val="20"/>
                <w:szCs w:val="20"/>
              </w:rPr>
            </w:pPr>
          </w:p>
        </w:tc>
      </w:tr>
    </w:tbl>
    <w:p w:rsidR="00F043CB" w:rsidRDefault="000B5210" w:rsidP="00DC4A81">
      <w:pPr>
        <w:ind w:right="650" w:firstLine="709"/>
        <w:jc w:val="both"/>
      </w:pPr>
      <w:r>
        <w:t>Арбитражный суд Приднестровской Молдавской Республики в соста</w:t>
      </w:r>
      <w:r w:rsidR="00DD17BA">
        <w:t>ве судьи                      Е.В.Качуровской</w:t>
      </w:r>
      <w:r>
        <w:t xml:space="preserve">, </w:t>
      </w:r>
      <w:r w:rsidR="006A5E49">
        <w:t>рассматривая в открытом судебном заседании</w:t>
      </w:r>
      <w:r>
        <w:t xml:space="preserve"> заявлени</w:t>
      </w:r>
      <w:r w:rsidR="006A5E49">
        <w:t>е</w:t>
      </w:r>
      <w:r w:rsidR="00F043CB">
        <w:t xml:space="preserve"> Налоговой инспекции по г.Бендеры (г. Бендеры ул.Калинина, д.17) о привлечении к административной ответственности</w:t>
      </w:r>
      <w:r w:rsidR="00F043CB" w:rsidRPr="00574382">
        <w:t xml:space="preserve"> </w:t>
      </w:r>
      <w:r w:rsidR="00F043CB">
        <w:t>индивидуального предпринимателя Великодной Витаны Сергеевны  (г.Бендеры с.Протягайловка ул.Космонавтов,д.2 «а»),</w:t>
      </w:r>
    </w:p>
    <w:p w:rsidR="00F043CB" w:rsidRDefault="006A5E49" w:rsidP="00DC4A81">
      <w:pPr>
        <w:ind w:right="650" w:firstLine="709"/>
        <w:jc w:val="both"/>
      </w:pPr>
      <w:r>
        <w:t>при участии</w:t>
      </w:r>
      <w:r w:rsidR="00650A0A">
        <w:t xml:space="preserve"> </w:t>
      </w:r>
      <w:r w:rsidR="00F043CB">
        <w:t xml:space="preserve">в судебном заседании </w:t>
      </w:r>
      <w:r w:rsidR="005A3A74">
        <w:t>представителя заявителя Лупу М.Н. по доверенности №8 от 11.01.2021 г.,</w:t>
      </w:r>
    </w:p>
    <w:p w:rsidR="006A5E49" w:rsidRPr="00DD17BA" w:rsidRDefault="005A3A74" w:rsidP="00DC4A81">
      <w:pPr>
        <w:ind w:right="650" w:firstLine="709"/>
        <w:jc w:val="both"/>
        <w:rPr>
          <w:color w:val="FF0000"/>
        </w:rPr>
      </w:pPr>
      <w:r>
        <w:t xml:space="preserve">в отсутствие лица, </w:t>
      </w:r>
      <w:r w:rsidR="006A3D9F">
        <w:t xml:space="preserve">привлекаемого к административной ответственности, </w:t>
      </w:r>
      <w:r w:rsidR="00650A0A">
        <w:t>извещенного о вр</w:t>
      </w:r>
      <w:r>
        <w:t>емени и месте рассмотрения дела надлежащим образом (заказное письмо с уведомлением № 2/73 от 01.06.2021 г.),</w:t>
      </w:r>
    </w:p>
    <w:p w:rsidR="00F043CB" w:rsidRDefault="00F043CB" w:rsidP="00DC4A81">
      <w:pPr>
        <w:ind w:right="650" w:firstLine="709"/>
        <w:jc w:val="center"/>
        <w:rPr>
          <w:b/>
        </w:rPr>
      </w:pPr>
    </w:p>
    <w:p w:rsidR="0012080B" w:rsidRDefault="0012080B" w:rsidP="00DC4A81">
      <w:pPr>
        <w:ind w:right="650" w:firstLine="709"/>
        <w:jc w:val="center"/>
        <w:rPr>
          <w:b/>
        </w:rPr>
      </w:pPr>
      <w:r>
        <w:rPr>
          <w:b/>
        </w:rPr>
        <w:t>У С Т А Н О В И Л:</w:t>
      </w:r>
    </w:p>
    <w:p w:rsidR="00DB0095" w:rsidRDefault="00DB0095" w:rsidP="00DB0095">
      <w:pPr>
        <w:ind w:right="650" w:firstLine="567"/>
        <w:jc w:val="both"/>
      </w:pPr>
      <w:r>
        <w:t>Налоговая инспекция по г.Бендеры обратилась в Арбитражный суд ПМР с заявлением о привлечении к административной ответственности</w:t>
      </w:r>
      <w:r w:rsidRPr="00574382">
        <w:t xml:space="preserve"> </w:t>
      </w:r>
      <w:r>
        <w:t>индивидуального предпринимателя Великодной В.С. по п.7 ст.14.7. КоАП ПМР.</w:t>
      </w:r>
    </w:p>
    <w:p w:rsidR="006A3D9F" w:rsidRDefault="006A3D9F" w:rsidP="00DB0095">
      <w:pPr>
        <w:ind w:right="650" w:firstLine="567"/>
        <w:jc w:val="both"/>
      </w:pPr>
      <w:r>
        <w:t>Определением суда от 01.06.2021 г. заявление принято к производству Арбитражного суда ПМР, рассмотрение дела назначено на 15.06.2021 г.</w:t>
      </w:r>
    </w:p>
    <w:p w:rsidR="00791858" w:rsidRDefault="00791858" w:rsidP="00DB0095">
      <w:pPr>
        <w:ind w:right="650" w:firstLine="567"/>
        <w:jc w:val="both"/>
      </w:pPr>
      <w:r>
        <w:t xml:space="preserve">Копии указанного судебного акта направлены </w:t>
      </w:r>
      <w:r w:rsidR="00F80906">
        <w:t>лицам, участвующим в деле,</w:t>
      </w:r>
      <w:r>
        <w:t xml:space="preserve"> в соответствии с положениями пункт</w:t>
      </w:r>
      <w:r w:rsidR="00E4229B">
        <w:t>ов</w:t>
      </w:r>
      <w:r>
        <w:t xml:space="preserve"> 1, 3 статьи 102-1, части первой пункта 1 статьи 102-2 АПК ПМР. Во исполнение требования части второй пункта 1 статьи 102-1 названного Кодекса </w:t>
      </w:r>
      <w:r w:rsidR="00B20A0F">
        <w:t>информация о принятии заявления к производству Арбитражного суда, а также о времени и месте судебного заседания,</w:t>
      </w:r>
      <w:r>
        <w:t xml:space="preserve"> размещен</w:t>
      </w:r>
      <w:r w:rsidR="00B20A0F">
        <w:t>а</w:t>
      </w:r>
      <w:r>
        <w:t xml:space="preserve"> на официальном сайте Арбитражного суда в сети Интернет.</w:t>
      </w:r>
    </w:p>
    <w:p w:rsidR="00DB0095" w:rsidRPr="00DD17BA" w:rsidRDefault="00791858" w:rsidP="00DB0095">
      <w:pPr>
        <w:ind w:right="650" w:firstLine="567"/>
        <w:jc w:val="both"/>
        <w:rPr>
          <w:color w:val="FF0000"/>
        </w:rPr>
      </w:pPr>
      <w:r>
        <w:t>В состоявше</w:t>
      </w:r>
      <w:r w:rsidR="00DB0095">
        <w:t>е</w:t>
      </w:r>
      <w:r>
        <w:t>ся в назначенное время заседани</w:t>
      </w:r>
      <w:r w:rsidR="00DB0095">
        <w:t>е не явилась</w:t>
      </w:r>
      <w:r w:rsidR="00120503">
        <w:t xml:space="preserve"> ИП</w:t>
      </w:r>
      <w:r w:rsidR="00DB0095">
        <w:t xml:space="preserve"> Великодная В.С., извещенная о времени и месте рассмотрения дела</w:t>
      </w:r>
      <w:r w:rsidR="00120503">
        <w:t xml:space="preserve"> надлежащим образом, о чем в материалах дела имеется </w:t>
      </w:r>
      <w:r w:rsidR="00DB0095">
        <w:t>заказное письмо с уведо</w:t>
      </w:r>
      <w:r w:rsidR="00120503">
        <w:t>млением № 2/73 от 01.06.2021 г.</w:t>
      </w:r>
    </w:p>
    <w:p w:rsidR="00DB0095" w:rsidRDefault="00DB0095" w:rsidP="00DB0095">
      <w:pPr>
        <w:pStyle w:val="ae"/>
        <w:ind w:right="650" w:firstLine="567"/>
        <w:jc w:val="both"/>
        <w:rPr>
          <w:sz w:val="24"/>
          <w:szCs w:val="24"/>
        </w:rPr>
      </w:pPr>
      <w:r>
        <w:rPr>
          <w:sz w:val="24"/>
          <w:szCs w:val="24"/>
        </w:rPr>
        <w:t>В ходе рассмотрения дела были заслушаны пояснения представителя заявителя</w:t>
      </w:r>
      <w:r w:rsidR="00120503">
        <w:rPr>
          <w:sz w:val="24"/>
          <w:szCs w:val="24"/>
        </w:rPr>
        <w:t>,</w:t>
      </w:r>
      <w:r>
        <w:rPr>
          <w:sz w:val="24"/>
          <w:szCs w:val="24"/>
        </w:rPr>
        <w:t xml:space="preserve"> которы</w:t>
      </w:r>
      <w:r w:rsidR="00120503">
        <w:rPr>
          <w:sz w:val="24"/>
          <w:szCs w:val="24"/>
        </w:rPr>
        <w:t>м</w:t>
      </w:r>
      <w:r>
        <w:rPr>
          <w:sz w:val="24"/>
          <w:szCs w:val="24"/>
        </w:rPr>
        <w:t xml:space="preserve"> заявл</w:t>
      </w:r>
      <w:r w:rsidR="00120503">
        <w:rPr>
          <w:sz w:val="24"/>
          <w:szCs w:val="24"/>
        </w:rPr>
        <w:t>ено</w:t>
      </w:r>
      <w:r>
        <w:rPr>
          <w:sz w:val="24"/>
          <w:szCs w:val="24"/>
        </w:rPr>
        <w:t xml:space="preserve"> ходатайство об отложении рассмотрения дела для представления дополнительных доказательств.</w:t>
      </w:r>
    </w:p>
    <w:p w:rsidR="00120503" w:rsidRDefault="00120503" w:rsidP="00DB0095">
      <w:pPr>
        <w:pStyle w:val="ae"/>
        <w:ind w:right="650" w:firstLine="567"/>
        <w:jc w:val="both"/>
        <w:rPr>
          <w:sz w:val="24"/>
          <w:szCs w:val="24"/>
        </w:rPr>
      </w:pPr>
    </w:p>
    <w:p w:rsidR="00120503" w:rsidRDefault="00120503" w:rsidP="00DB0095">
      <w:pPr>
        <w:pStyle w:val="ae"/>
        <w:ind w:right="650" w:firstLine="567"/>
        <w:jc w:val="both"/>
        <w:rPr>
          <w:sz w:val="24"/>
          <w:szCs w:val="24"/>
        </w:rPr>
      </w:pPr>
    </w:p>
    <w:p w:rsidR="00120503" w:rsidRPr="00120503" w:rsidRDefault="00120503" w:rsidP="00120503">
      <w:pPr>
        <w:ind w:left="284" w:right="83" w:firstLine="709"/>
        <w:jc w:val="both"/>
      </w:pPr>
      <w:r w:rsidRPr="00120503">
        <w:lastRenderedPageBreak/>
        <w:t>Лица, участвующие в деле, имеют право представлять доказательства и участвовать в их исследовании</w:t>
      </w:r>
      <w:r>
        <w:t xml:space="preserve"> в силу ст.25 АПК ПМР.</w:t>
      </w:r>
    </w:p>
    <w:p w:rsidR="00DB0095" w:rsidRDefault="00DB0095" w:rsidP="00120503">
      <w:pPr>
        <w:ind w:left="284" w:right="83" w:firstLine="709"/>
        <w:jc w:val="both"/>
      </w:pPr>
      <w:r>
        <w:t xml:space="preserve">В соответствии с </w:t>
      </w:r>
      <w:r w:rsidRPr="00705F92">
        <w:t>пункт</w:t>
      </w:r>
      <w:r>
        <w:t>ом</w:t>
      </w:r>
      <w:r w:rsidRPr="00705F92">
        <w:t xml:space="preserve"> </w:t>
      </w:r>
      <w:r>
        <w:t>5</w:t>
      </w:r>
      <w:r w:rsidRPr="00705F92">
        <w:t xml:space="preserve"> статьи 130-1</w:t>
      </w:r>
      <w:r>
        <w:t>6</w:t>
      </w:r>
      <w:r w:rsidRPr="00705F92">
        <w:t xml:space="preserve"> АПК ПМР, </w:t>
      </w:r>
      <w:r>
        <w:t>п</w:t>
      </w:r>
      <w:r w:rsidRPr="00813152">
        <w:t>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w:t>
      </w:r>
      <w:r>
        <w:t xml:space="preserve">дминистративной ответственности. </w:t>
      </w:r>
    </w:p>
    <w:p w:rsidR="00DB0095" w:rsidRDefault="00DB0095" w:rsidP="00120503">
      <w:pPr>
        <w:ind w:left="284" w:right="83" w:firstLine="709"/>
        <w:jc w:val="both"/>
      </w:pPr>
      <w:r w:rsidRPr="00705F92">
        <w:t xml:space="preserve">Согласно п.1 ст.109 АПК ПМР Арбитражный суд вправе отложить рассмотрение дела в случаях, когда оно не может быть рассмотрено в данном заседании, в том числе </w:t>
      </w:r>
      <w:r>
        <w:t>при</w:t>
      </w:r>
      <w:r w:rsidRPr="00705F92">
        <w:t xml:space="preserve"> необходимости представления дополнительных доказательств.</w:t>
      </w:r>
    </w:p>
    <w:p w:rsidR="00DB0095" w:rsidRPr="006541FB" w:rsidRDefault="00DB0095" w:rsidP="00120503">
      <w:pPr>
        <w:ind w:left="284" w:right="83" w:firstLine="709"/>
        <w:jc w:val="both"/>
      </w:pPr>
      <w:r w:rsidRPr="00705F92">
        <w:t xml:space="preserve">Принимая во внимание </w:t>
      </w:r>
      <w:r>
        <w:t xml:space="preserve">приведенные </w:t>
      </w:r>
      <w:r w:rsidRPr="00705F92">
        <w:t>положения</w:t>
      </w:r>
      <w:r>
        <w:t xml:space="preserve"> закона, </w:t>
      </w:r>
      <w:r w:rsidRPr="00705F92">
        <w:t>суд</w:t>
      </w:r>
      <w:r>
        <w:t xml:space="preserve"> полагает необходимым </w:t>
      </w:r>
      <w:r w:rsidRPr="00705F92">
        <w:t xml:space="preserve"> </w:t>
      </w:r>
      <w:r>
        <w:t xml:space="preserve">удовлетворить ходатайство представителя заявителя, </w:t>
      </w:r>
      <w:r w:rsidRPr="00705F92">
        <w:t>отложить разбирательство дела</w:t>
      </w:r>
      <w:r>
        <w:t xml:space="preserve">, предоставив налоговому органу возможность представить все имеющиеся доказательства, </w:t>
      </w:r>
      <w:r w:rsidRPr="006541FB">
        <w:t>необходимые для рассмотрения дела и принятия решения</w:t>
      </w:r>
      <w:r>
        <w:t xml:space="preserve">, подтверждающие наличие события и состава вменяемого ИП Великодной В.С. правонарушения, и </w:t>
      </w:r>
      <w:r w:rsidRPr="00813152">
        <w:t>основани</w:t>
      </w:r>
      <w:r>
        <w:t>й</w:t>
      </w:r>
      <w:r w:rsidRPr="00813152">
        <w:t xml:space="preserve"> для составления протокола</w:t>
      </w:r>
      <w:r>
        <w:t>.</w:t>
      </w:r>
    </w:p>
    <w:p w:rsidR="00791858" w:rsidRPr="00650A0A" w:rsidRDefault="00DB0095" w:rsidP="00120503">
      <w:pPr>
        <w:ind w:left="284" w:right="83" w:firstLine="709"/>
        <w:jc w:val="both"/>
        <w:rPr>
          <w:color w:val="000000"/>
        </w:rPr>
      </w:pPr>
      <w:r>
        <w:rPr>
          <w:color w:val="000000"/>
        </w:rPr>
        <w:t>На основании изложенного,</w:t>
      </w:r>
      <w:r w:rsidR="00C4443F" w:rsidRPr="00650A0A">
        <w:rPr>
          <w:color w:val="000000"/>
        </w:rPr>
        <w:t xml:space="preserve"> </w:t>
      </w:r>
      <w:r w:rsidR="00C4443F" w:rsidRPr="00120503">
        <w:rPr>
          <w:color w:val="000000" w:themeColor="text1"/>
        </w:rPr>
        <w:t>Арбитражный суд Приднестровской Молдавской Республики, руководствуясь статьями</w:t>
      </w:r>
      <w:r w:rsidRPr="00120503">
        <w:rPr>
          <w:color w:val="000000" w:themeColor="text1"/>
        </w:rPr>
        <w:t xml:space="preserve"> 25,</w:t>
      </w:r>
      <w:r w:rsidR="00C4443F" w:rsidRPr="00120503">
        <w:rPr>
          <w:color w:val="000000" w:themeColor="text1"/>
        </w:rPr>
        <w:t>109, 128</w:t>
      </w:r>
      <w:r w:rsidR="00871EFE" w:rsidRPr="00120503">
        <w:rPr>
          <w:color w:val="000000" w:themeColor="text1"/>
        </w:rPr>
        <w:t xml:space="preserve">, 130-16 </w:t>
      </w:r>
      <w:r w:rsidR="00C4443F" w:rsidRPr="00120503">
        <w:rPr>
          <w:color w:val="000000" w:themeColor="text1"/>
        </w:rPr>
        <w:t xml:space="preserve"> Арбитражного</w:t>
      </w:r>
      <w:r w:rsidR="00C4443F" w:rsidRPr="00650A0A">
        <w:rPr>
          <w:color w:val="000000"/>
        </w:rPr>
        <w:t xml:space="preserve"> процессуального кодекса Приднестровской Молдавской Республики, </w:t>
      </w:r>
    </w:p>
    <w:p w:rsidR="00B07D65" w:rsidRDefault="00B07D65" w:rsidP="00120503">
      <w:pPr>
        <w:ind w:left="284" w:right="83" w:firstLine="709"/>
        <w:jc w:val="center"/>
        <w:rPr>
          <w:b/>
        </w:rPr>
      </w:pPr>
    </w:p>
    <w:p w:rsidR="000B5210" w:rsidRDefault="000B5210" w:rsidP="00120503">
      <w:pPr>
        <w:ind w:left="284" w:right="83" w:firstLine="709"/>
        <w:jc w:val="center"/>
        <w:rPr>
          <w:b/>
        </w:rPr>
      </w:pPr>
      <w:r>
        <w:rPr>
          <w:b/>
        </w:rPr>
        <w:t>О П Р Е Д Е Л И Л:</w:t>
      </w:r>
    </w:p>
    <w:p w:rsidR="00984CB0" w:rsidRDefault="00984CB0" w:rsidP="00120503">
      <w:pPr>
        <w:ind w:left="284" w:right="83" w:firstLine="709"/>
        <w:jc w:val="center"/>
        <w:rPr>
          <w:b/>
        </w:rPr>
      </w:pPr>
    </w:p>
    <w:p w:rsidR="0013149C" w:rsidRDefault="003B6264" w:rsidP="00120503">
      <w:pPr>
        <w:ind w:left="284" w:right="83" w:firstLine="709"/>
        <w:jc w:val="both"/>
      </w:pPr>
      <w:r w:rsidRPr="003942F3">
        <w:rPr>
          <w:color w:val="000000" w:themeColor="text1"/>
        </w:rPr>
        <w:t>Отложить рассмотрение дела №</w:t>
      </w:r>
      <w:r>
        <w:t xml:space="preserve"> </w:t>
      </w:r>
      <w:r w:rsidR="003942F3">
        <w:t>388</w:t>
      </w:r>
      <w:r w:rsidR="0047387D">
        <w:t>/2</w:t>
      </w:r>
      <w:r w:rsidR="003942F3">
        <w:t>1</w:t>
      </w:r>
      <w:r>
        <w:t>-</w:t>
      </w:r>
      <w:r w:rsidR="0047387D">
        <w:t>02</w:t>
      </w:r>
      <w:r>
        <w:t xml:space="preserve"> </w:t>
      </w:r>
      <w:r w:rsidRPr="00BF2BAA">
        <w:t xml:space="preserve">на </w:t>
      </w:r>
      <w:r w:rsidR="003942F3">
        <w:rPr>
          <w:b/>
        </w:rPr>
        <w:t>21.07.2021</w:t>
      </w:r>
      <w:r w:rsidRPr="00BF2BAA">
        <w:rPr>
          <w:b/>
        </w:rPr>
        <w:t xml:space="preserve"> года</w:t>
      </w:r>
      <w:r w:rsidRPr="00BF2BAA">
        <w:t xml:space="preserve"> на </w:t>
      </w:r>
      <w:r w:rsidR="003942F3" w:rsidRPr="003942F3">
        <w:rPr>
          <w:b/>
        </w:rPr>
        <w:t>10</w:t>
      </w:r>
      <w:r w:rsidR="00BF2BAA" w:rsidRPr="00BF2BAA">
        <w:rPr>
          <w:b/>
        </w:rPr>
        <w:t>.</w:t>
      </w:r>
      <w:r w:rsidR="003942F3">
        <w:rPr>
          <w:b/>
        </w:rPr>
        <w:t>3</w:t>
      </w:r>
      <w:r w:rsidR="00BF2BAA" w:rsidRPr="00BF2BAA">
        <w:rPr>
          <w:b/>
        </w:rPr>
        <w:t xml:space="preserve">0 </w:t>
      </w:r>
      <w:r w:rsidR="0047387D" w:rsidRPr="00BF2BAA">
        <w:rPr>
          <w:b/>
        </w:rPr>
        <w:t>часов</w:t>
      </w:r>
      <w:r>
        <w:t xml:space="preserve"> в здании Арбитражного суда Приднестровской Молдавской Республики по адресу: г.Тирасполь, ул. Ленина, 1/2, каб. </w:t>
      </w:r>
      <w:r w:rsidR="0047387D" w:rsidRPr="00BF2BAA">
        <w:t>307</w:t>
      </w:r>
      <w:r w:rsidRPr="00BF2BAA">
        <w:t>.</w:t>
      </w:r>
      <w:r w:rsidR="0013149C" w:rsidRPr="0013149C">
        <w:t xml:space="preserve"> </w:t>
      </w:r>
    </w:p>
    <w:p w:rsidR="003558DC" w:rsidRDefault="003558DC" w:rsidP="00120503">
      <w:pPr>
        <w:ind w:left="284" w:right="83" w:firstLine="709"/>
        <w:jc w:val="both"/>
      </w:pPr>
      <w:r>
        <w:t xml:space="preserve">Определение не обжалуется. </w:t>
      </w:r>
    </w:p>
    <w:p w:rsidR="003558DC" w:rsidRDefault="003558DC" w:rsidP="00DC4A81">
      <w:pPr>
        <w:ind w:right="650" w:firstLine="709"/>
        <w:jc w:val="both"/>
        <w:rPr>
          <w:b/>
        </w:rPr>
      </w:pPr>
    </w:p>
    <w:p w:rsidR="00A10DF6" w:rsidRDefault="00A10DF6" w:rsidP="00DC4A81">
      <w:pPr>
        <w:ind w:right="650" w:firstLine="709"/>
        <w:jc w:val="both"/>
        <w:rPr>
          <w:b/>
        </w:rPr>
      </w:pPr>
    </w:p>
    <w:p w:rsidR="003558DC" w:rsidRDefault="003558DC" w:rsidP="00DC4A81">
      <w:pPr>
        <w:ind w:right="650" w:firstLine="709"/>
        <w:jc w:val="both"/>
        <w:rPr>
          <w:b/>
        </w:rPr>
      </w:pPr>
      <w:r>
        <w:rPr>
          <w:b/>
        </w:rPr>
        <w:t>Судья Арбитражного суда</w:t>
      </w:r>
    </w:p>
    <w:p w:rsidR="00E265BC" w:rsidRDefault="003558DC" w:rsidP="00DC4A81">
      <w:pPr>
        <w:ind w:right="650" w:firstLine="709"/>
        <w:jc w:val="both"/>
        <w:rPr>
          <w:b/>
        </w:rPr>
      </w:pPr>
      <w:r>
        <w:rPr>
          <w:b/>
        </w:rPr>
        <w:t xml:space="preserve">Приднестровской Молдавской Республики                                    </w:t>
      </w:r>
      <w:r w:rsidRPr="00D461AC">
        <w:rPr>
          <w:b/>
        </w:rPr>
        <w:t>Е.</w:t>
      </w:r>
      <w:r w:rsidR="00DD17BA">
        <w:rPr>
          <w:b/>
        </w:rPr>
        <w:t>В.Качуровская</w:t>
      </w:r>
    </w:p>
    <w:p w:rsidR="00871EFE" w:rsidRDefault="00871EFE"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871EFE" w:rsidRDefault="00871EFE" w:rsidP="00DC4A81">
      <w:pPr>
        <w:ind w:left="284" w:right="650"/>
        <w:jc w:val="both"/>
        <w:rPr>
          <w:b/>
        </w:rPr>
      </w:pPr>
    </w:p>
    <w:p w:rsidR="00BF2BAA" w:rsidRDefault="00BF2BAA" w:rsidP="00DC4A81">
      <w:pPr>
        <w:ind w:left="284" w:right="650"/>
        <w:jc w:val="both"/>
        <w:rPr>
          <w:b/>
        </w:rPr>
      </w:pPr>
    </w:p>
    <w:p w:rsidR="00BF2BAA" w:rsidRDefault="00BF2BAA" w:rsidP="003B6264">
      <w:pPr>
        <w:ind w:left="284"/>
        <w:jc w:val="both"/>
        <w:rPr>
          <w:b/>
        </w:rPr>
      </w:pPr>
    </w:p>
    <w:sectPr w:rsidR="00BF2BAA" w:rsidSect="00B20A0F">
      <w:footerReference w:type="default" r:id="rId9"/>
      <w:pgSz w:w="11906" w:h="16838"/>
      <w:pgMar w:top="993"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5F" w:rsidRDefault="00061F5F" w:rsidP="00747910">
      <w:r>
        <w:separator/>
      </w:r>
    </w:p>
  </w:endnote>
  <w:endnote w:type="continuationSeparator" w:id="1">
    <w:p w:rsidR="00061F5F" w:rsidRDefault="00061F5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04CD8">
    <w:pPr>
      <w:pStyle w:val="a7"/>
      <w:jc w:val="right"/>
    </w:pPr>
    <w:fldSimple w:instr=" PAGE   \* MERGEFORMAT ">
      <w:r w:rsidR="0012050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5F" w:rsidRDefault="00061F5F" w:rsidP="00747910">
      <w:r>
        <w:separator/>
      </w:r>
    </w:p>
  </w:footnote>
  <w:footnote w:type="continuationSeparator" w:id="1">
    <w:p w:rsidR="00061F5F" w:rsidRDefault="00061F5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E47E4340"/>
    <w:lvl w:ilvl="0" w:tplc="5A8AF5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400F3"/>
    <w:rsid w:val="00061F5F"/>
    <w:rsid w:val="00081B5A"/>
    <w:rsid w:val="000B5210"/>
    <w:rsid w:val="000C4195"/>
    <w:rsid w:val="000C512D"/>
    <w:rsid w:val="000C64A5"/>
    <w:rsid w:val="000D6688"/>
    <w:rsid w:val="000E2672"/>
    <w:rsid w:val="000E5906"/>
    <w:rsid w:val="00120503"/>
    <w:rsid w:val="0012080B"/>
    <w:rsid w:val="0013015F"/>
    <w:rsid w:val="0013149C"/>
    <w:rsid w:val="001823B7"/>
    <w:rsid w:val="001860FD"/>
    <w:rsid w:val="001979FD"/>
    <w:rsid w:val="001A48C1"/>
    <w:rsid w:val="001C1B4F"/>
    <w:rsid w:val="001D3D23"/>
    <w:rsid w:val="001E45FA"/>
    <w:rsid w:val="00212E13"/>
    <w:rsid w:val="002431E5"/>
    <w:rsid w:val="0024575D"/>
    <w:rsid w:val="0026059C"/>
    <w:rsid w:val="002828CA"/>
    <w:rsid w:val="002935E2"/>
    <w:rsid w:val="002D2926"/>
    <w:rsid w:val="002E0357"/>
    <w:rsid w:val="00303D72"/>
    <w:rsid w:val="003331A5"/>
    <w:rsid w:val="003558DC"/>
    <w:rsid w:val="00365A17"/>
    <w:rsid w:val="00381CF3"/>
    <w:rsid w:val="003942F3"/>
    <w:rsid w:val="003A617A"/>
    <w:rsid w:val="003B6264"/>
    <w:rsid w:val="004207CA"/>
    <w:rsid w:val="00424065"/>
    <w:rsid w:val="00435D1A"/>
    <w:rsid w:val="00444EB1"/>
    <w:rsid w:val="0047387D"/>
    <w:rsid w:val="00485A7C"/>
    <w:rsid w:val="004A01C7"/>
    <w:rsid w:val="004B0F41"/>
    <w:rsid w:val="004C3365"/>
    <w:rsid w:val="004C56EA"/>
    <w:rsid w:val="004C701C"/>
    <w:rsid w:val="004F7B6D"/>
    <w:rsid w:val="0051667D"/>
    <w:rsid w:val="00533BE1"/>
    <w:rsid w:val="005A3A74"/>
    <w:rsid w:val="005A6736"/>
    <w:rsid w:val="00605EA7"/>
    <w:rsid w:val="00650A0A"/>
    <w:rsid w:val="00694E57"/>
    <w:rsid w:val="006976EB"/>
    <w:rsid w:val="006A3D9F"/>
    <w:rsid w:val="006A5E49"/>
    <w:rsid w:val="006C6D2B"/>
    <w:rsid w:val="006E570D"/>
    <w:rsid w:val="00710036"/>
    <w:rsid w:val="00717526"/>
    <w:rsid w:val="00747910"/>
    <w:rsid w:val="00750035"/>
    <w:rsid w:val="0075091C"/>
    <w:rsid w:val="00791858"/>
    <w:rsid w:val="007A51C3"/>
    <w:rsid w:val="007A69A7"/>
    <w:rsid w:val="007C124E"/>
    <w:rsid w:val="007F6115"/>
    <w:rsid w:val="00804CD8"/>
    <w:rsid w:val="00813A13"/>
    <w:rsid w:val="00821468"/>
    <w:rsid w:val="008273B9"/>
    <w:rsid w:val="00833454"/>
    <w:rsid w:val="0085504A"/>
    <w:rsid w:val="00871EFE"/>
    <w:rsid w:val="008A11D6"/>
    <w:rsid w:val="008E40AD"/>
    <w:rsid w:val="008E7FC6"/>
    <w:rsid w:val="008F60C5"/>
    <w:rsid w:val="008F64F3"/>
    <w:rsid w:val="00900716"/>
    <w:rsid w:val="00903238"/>
    <w:rsid w:val="00904994"/>
    <w:rsid w:val="00917458"/>
    <w:rsid w:val="00924C0E"/>
    <w:rsid w:val="00926900"/>
    <w:rsid w:val="00984CB0"/>
    <w:rsid w:val="00991CBB"/>
    <w:rsid w:val="00997222"/>
    <w:rsid w:val="009977D8"/>
    <w:rsid w:val="00997D43"/>
    <w:rsid w:val="009B61B4"/>
    <w:rsid w:val="009F37CE"/>
    <w:rsid w:val="00A032B6"/>
    <w:rsid w:val="00A10DF6"/>
    <w:rsid w:val="00A42F10"/>
    <w:rsid w:val="00A654E1"/>
    <w:rsid w:val="00AB326C"/>
    <w:rsid w:val="00AB632B"/>
    <w:rsid w:val="00AC58DE"/>
    <w:rsid w:val="00AC6E73"/>
    <w:rsid w:val="00AE51C6"/>
    <w:rsid w:val="00AE7391"/>
    <w:rsid w:val="00AF591D"/>
    <w:rsid w:val="00B07D65"/>
    <w:rsid w:val="00B20A0F"/>
    <w:rsid w:val="00B46A09"/>
    <w:rsid w:val="00B53DF1"/>
    <w:rsid w:val="00B915AD"/>
    <w:rsid w:val="00BE7BA6"/>
    <w:rsid w:val="00BF2BAA"/>
    <w:rsid w:val="00C3734A"/>
    <w:rsid w:val="00C43442"/>
    <w:rsid w:val="00C4443F"/>
    <w:rsid w:val="00C518EB"/>
    <w:rsid w:val="00C77370"/>
    <w:rsid w:val="00C83467"/>
    <w:rsid w:val="00C849F3"/>
    <w:rsid w:val="00CA1791"/>
    <w:rsid w:val="00CC555F"/>
    <w:rsid w:val="00D17EE7"/>
    <w:rsid w:val="00D90A20"/>
    <w:rsid w:val="00D96E34"/>
    <w:rsid w:val="00DA6EC0"/>
    <w:rsid w:val="00DB0095"/>
    <w:rsid w:val="00DC4A81"/>
    <w:rsid w:val="00DD17BA"/>
    <w:rsid w:val="00E265BC"/>
    <w:rsid w:val="00E37C05"/>
    <w:rsid w:val="00E37FF1"/>
    <w:rsid w:val="00E4229B"/>
    <w:rsid w:val="00E43512"/>
    <w:rsid w:val="00E47763"/>
    <w:rsid w:val="00E6678D"/>
    <w:rsid w:val="00E67E5E"/>
    <w:rsid w:val="00E715EC"/>
    <w:rsid w:val="00E74456"/>
    <w:rsid w:val="00E76C3A"/>
    <w:rsid w:val="00E90DB1"/>
    <w:rsid w:val="00E92C98"/>
    <w:rsid w:val="00E975E9"/>
    <w:rsid w:val="00ED4297"/>
    <w:rsid w:val="00ED67B4"/>
    <w:rsid w:val="00F043CB"/>
    <w:rsid w:val="00F16008"/>
    <w:rsid w:val="00F253A2"/>
    <w:rsid w:val="00F51E35"/>
    <w:rsid w:val="00F64381"/>
    <w:rsid w:val="00F72C4D"/>
    <w:rsid w:val="00F80906"/>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styleId="ae">
    <w:name w:val="No Spacing"/>
    <w:qFormat/>
    <w:rsid w:val="00871EFE"/>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91D-6C11-4E03-BA9F-C94A326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2021-06-15T11:14:00Z</cp:lastPrinted>
  <dcterms:created xsi:type="dcterms:W3CDTF">2021-06-15T10:46:00Z</dcterms:created>
  <dcterms:modified xsi:type="dcterms:W3CDTF">2021-06-15T11:17:00Z</dcterms:modified>
</cp:coreProperties>
</file>