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C0A1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426935">
            <w:pPr>
              <w:rPr>
                <w:rFonts w:eastAsia="Calibri"/>
                <w:b/>
                <w:bCs/>
                <w:u w:val="single"/>
              </w:rPr>
            </w:pPr>
            <w:r w:rsidRPr="0013188E">
              <w:rPr>
                <w:rFonts w:eastAsia="Calibri"/>
                <w:b/>
                <w:u w:val="single"/>
              </w:rPr>
              <w:t>«</w:t>
            </w:r>
            <w:r w:rsidR="0013188E" w:rsidRPr="0013188E">
              <w:rPr>
                <w:rFonts w:eastAsia="Calibri"/>
                <w:b/>
                <w:u w:val="single"/>
              </w:rPr>
              <w:t>1</w:t>
            </w:r>
            <w:r w:rsidR="00426935">
              <w:rPr>
                <w:rFonts w:eastAsia="Calibri"/>
                <w:b/>
                <w:u w:val="single"/>
              </w:rPr>
              <w:t>2</w:t>
            </w:r>
            <w:r w:rsidRPr="0013188E">
              <w:rPr>
                <w:rFonts w:eastAsia="Calibri"/>
                <w:b/>
                <w:u w:val="single"/>
              </w:rPr>
              <w:t xml:space="preserve">» </w:t>
            </w:r>
            <w:r w:rsidR="00426935">
              <w:rPr>
                <w:rFonts w:eastAsia="Calibri"/>
                <w:b/>
                <w:u w:val="single"/>
              </w:rPr>
              <w:t>мая</w:t>
            </w:r>
            <w:r>
              <w:rPr>
                <w:rFonts w:eastAsia="Calibri"/>
                <w:b/>
                <w:u w:val="single"/>
              </w:rPr>
              <w:t xml:space="preserve"> </w:t>
            </w:r>
            <w:r w:rsidRPr="00235F61">
              <w:rPr>
                <w:rFonts w:eastAsia="Calibri"/>
                <w:b/>
                <w:bCs/>
                <w:u w:val="single"/>
              </w:rPr>
              <w:t>20</w:t>
            </w:r>
            <w:r>
              <w:rPr>
                <w:rFonts w:eastAsia="Calibri"/>
                <w:b/>
                <w:bCs/>
                <w:u w:val="single"/>
              </w:rPr>
              <w:t>2</w:t>
            </w:r>
            <w:r w:rsidR="00426935">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426935">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426935">
              <w:rPr>
                <w:rFonts w:eastAsia="Calibri"/>
                <w:b/>
                <w:u w:val="single"/>
              </w:rPr>
              <w:t>335</w:t>
            </w:r>
            <w:r>
              <w:rPr>
                <w:rFonts w:eastAsia="Calibri"/>
                <w:b/>
                <w:u w:val="single"/>
              </w:rPr>
              <w:t>/2</w:t>
            </w:r>
            <w:r w:rsidR="00426935">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w:t>
      </w:r>
      <w:r w:rsidRPr="00275888">
        <w:rPr>
          <w:rStyle w:val="FontStyle14"/>
          <w:sz w:val="24"/>
          <w:szCs w:val="24"/>
        </w:rPr>
        <w:t xml:space="preserve">ской Е.В., ознакомившись с  заявлением  </w:t>
      </w:r>
      <w:r w:rsidR="00275888" w:rsidRPr="00275888">
        <w:rPr>
          <w:rFonts w:ascii="Times New Roman" w:hAnsi="Times New Roman" w:cs="Times New Roman"/>
          <w:sz w:val="24"/>
          <w:szCs w:val="24"/>
        </w:rPr>
        <w:t xml:space="preserve">Налоговой инспекции по г.Тирасполь ГНС МФ ПМР (г. Тирасполь ул.25 Октября, 101) о привлечении к административной ответственности </w:t>
      </w:r>
      <w:r w:rsidR="00426935">
        <w:rPr>
          <w:rFonts w:ascii="Times New Roman" w:hAnsi="Times New Roman" w:cs="Times New Roman"/>
          <w:sz w:val="24"/>
          <w:szCs w:val="24"/>
        </w:rPr>
        <w:t xml:space="preserve">ООО «КапиталСтрой» </w:t>
      </w:r>
      <w:r w:rsidR="00275888" w:rsidRPr="00275888">
        <w:rPr>
          <w:rFonts w:ascii="Times New Roman" w:hAnsi="Times New Roman" w:cs="Times New Roman"/>
          <w:sz w:val="24"/>
          <w:szCs w:val="24"/>
        </w:rPr>
        <w:t>(г.Тирасполь ул.</w:t>
      </w:r>
      <w:r w:rsidR="00426935">
        <w:rPr>
          <w:rFonts w:ascii="Times New Roman" w:hAnsi="Times New Roman" w:cs="Times New Roman"/>
          <w:sz w:val="24"/>
          <w:szCs w:val="24"/>
        </w:rPr>
        <w:t>Гоголя,82</w:t>
      </w:r>
      <w:r w:rsidR="00275888" w:rsidRPr="00275888">
        <w:rPr>
          <w:rFonts w:ascii="Times New Roman" w:hAnsi="Times New Roman" w:cs="Times New Roman"/>
          <w:sz w:val="24"/>
          <w:szCs w:val="24"/>
        </w:rPr>
        <w:t>),</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275888" w:rsidRDefault="00817F7D" w:rsidP="004605D2">
      <w:pPr>
        <w:spacing w:line="19" w:lineRule="atLeast"/>
        <w:ind w:right="-1" w:firstLine="567"/>
        <w:jc w:val="both"/>
      </w:pPr>
      <w:r>
        <w:rPr>
          <w:rStyle w:val="FontStyle14"/>
          <w:sz w:val="24"/>
          <w:szCs w:val="24"/>
        </w:rPr>
        <w:t xml:space="preserve"> </w:t>
      </w:r>
      <w:r w:rsidR="00275888">
        <w:rPr>
          <w:rStyle w:val="FontStyle14"/>
          <w:sz w:val="24"/>
          <w:szCs w:val="24"/>
        </w:rPr>
        <w:t xml:space="preserve">Налоговая инспекция по г.Тирасполь </w:t>
      </w:r>
      <w:r w:rsidR="00894E49">
        <w:rPr>
          <w:rStyle w:val="FontStyle14"/>
          <w:sz w:val="24"/>
          <w:szCs w:val="24"/>
        </w:rPr>
        <w:t xml:space="preserve">в лице </w:t>
      </w:r>
      <w:r w:rsidR="00426935">
        <w:rPr>
          <w:rStyle w:val="FontStyle14"/>
          <w:sz w:val="24"/>
          <w:szCs w:val="24"/>
        </w:rPr>
        <w:t xml:space="preserve">заместителя </w:t>
      </w:r>
      <w:r w:rsidR="00894E49">
        <w:rPr>
          <w:rStyle w:val="FontStyle14"/>
          <w:sz w:val="24"/>
          <w:szCs w:val="24"/>
        </w:rPr>
        <w:t>начальника</w:t>
      </w:r>
      <w:r w:rsidR="006A5C10">
        <w:rPr>
          <w:rStyle w:val="FontStyle14"/>
          <w:sz w:val="24"/>
          <w:szCs w:val="24"/>
        </w:rPr>
        <w:t>,</w:t>
      </w:r>
      <w:r w:rsidR="00894E49">
        <w:rPr>
          <w:rStyle w:val="FontStyle14"/>
          <w:sz w:val="24"/>
          <w:szCs w:val="24"/>
        </w:rPr>
        <w:t xml:space="preserve"> о</w:t>
      </w:r>
      <w:r w:rsidR="00894E49" w:rsidRPr="00FF32CB">
        <w:rPr>
          <w:color w:val="000000"/>
        </w:rPr>
        <w:t>братил</w:t>
      </w:r>
      <w:r w:rsidR="00894E49">
        <w:rPr>
          <w:color w:val="000000"/>
        </w:rPr>
        <w:t>а</w:t>
      </w:r>
      <w:r w:rsidR="00894E49" w:rsidRPr="00FF32CB">
        <w:rPr>
          <w:color w:val="000000"/>
        </w:rPr>
        <w:t xml:space="preserve">сь в Арбитражный суд ПМР с заявлением 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426935">
        <w:t>ООО «КапиталСтрой»</w:t>
      </w:r>
      <w:r w:rsidR="00275888">
        <w:t>.</w:t>
      </w:r>
      <w:r w:rsidR="00275888" w:rsidRPr="00275888">
        <w:t xml:space="preserve"> </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w:t>
      </w:r>
      <w:r w:rsidRPr="00894E49">
        <w:rPr>
          <w:color w:val="000000"/>
        </w:rPr>
        <w:t xml:space="preserve">предусмотренным статьей 91 (за исключением п.ж),з) п.2), статьей 92 и 93 АПК ПМР. </w:t>
      </w:r>
    </w:p>
    <w:p w:rsidR="00275888" w:rsidRPr="00275888" w:rsidRDefault="00894E49" w:rsidP="00426935">
      <w:pPr>
        <w:spacing w:line="19" w:lineRule="atLeast"/>
        <w:ind w:right="-1" w:firstLine="567"/>
        <w:jc w:val="both"/>
      </w:pPr>
      <w:r w:rsidRPr="00426935">
        <w:rPr>
          <w:color w:val="000000"/>
        </w:rPr>
        <w:t xml:space="preserve">Согласно </w:t>
      </w:r>
      <w:r w:rsidR="004773FE" w:rsidRPr="00426935">
        <w:rPr>
          <w:color w:val="000000"/>
        </w:rPr>
        <w:t>подпункт</w:t>
      </w:r>
      <w:r w:rsidRPr="00426935">
        <w:rPr>
          <w:color w:val="000000"/>
        </w:rPr>
        <w:t>у</w:t>
      </w:r>
      <w:r w:rsidR="004773FE" w:rsidRPr="00426935">
        <w:rPr>
          <w:color w:val="000000"/>
        </w:rPr>
        <w:t xml:space="preserve"> д) части первой статьи 93 АПК ПМР, к заявлению </w:t>
      </w:r>
      <w:r w:rsidR="000E2438" w:rsidRPr="00426935">
        <w:rPr>
          <w:color w:val="000000"/>
        </w:rPr>
        <w:t>должна быть приложена</w:t>
      </w:r>
      <w:r w:rsidR="004773FE" w:rsidRPr="00426935">
        <w:rPr>
          <w:color w:val="000000"/>
        </w:rPr>
        <w:t xml:space="preserve"> </w:t>
      </w:r>
      <w:r w:rsidR="00426935" w:rsidRPr="00426935">
        <w:rPr>
          <w:color w:val="000000"/>
        </w:rPr>
        <w:t>выписка из единого государственного реестра юридических лиц и индивидуальных предпринимателей с указанием сведений о месте нахождения истца и ответчика.</w:t>
      </w:r>
      <w:r w:rsidR="00275888" w:rsidRPr="00275888">
        <w:t xml:space="preserve"> Такие документы должны быть получены не ранее чем за 10 (десять) дней до дня обращения в арбитражный суд.</w:t>
      </w:r>
    </w:p>
    <w:p w:rsidR="00426935" w:rsidRDefault="00275888" w:rsidP="00426935">
      <w:pPr>
        <w:spacing w:line="19" w:lineRule="atLeast"/>
        <w:ind w:right="-1" w:firstLine="567"/>
        <w:jc w:val="both"/>
      </w:pPr>
      <w:r w:rsidRPr="000551EE">
        <w:t xml:space="preserve">В нарушение данной нормы процессуального закона к </w:t>
      </w:r>
      <w:r>
        <w:t>з</w:t>
      </w:r>
      <w:r w:rsidRPr="000551EE">
        <w:t xml:space="preserve">аявлению </w:t>
      </w:r>
      <w:r>
        <w:t xml:space="preserve">приложена </w:t>
      </w:r>
      <w:r w:rsidRPr="000551EE">
        <w:t>выписк</w:t>
      </w:r>
      <w:r>
        <w:t>а</w:t>
      </w:r>
      <w:r w:rsidRPr="000551EE">
        <w:t xml:space="preserve"> из </w:t>
      </w:r>
      <w:r>
        <w:t>государственного реестра юридических лиц</w:t>
      </w:r>
      <w:r w:rsidRPr="000551EE">
        <w:t xml:space="preserve"> в отношении </w:t>
      </w:r>
      <w:r w:rsidR="00426935">
        <w:t xml:space="preserve">ООО «КапиталСтрой» </w:t>
      </w:r>
      <w:r>
        <w:t>в виде распечатанного электронного документа, не подписанного надлежащим образом.</w:t>
      </w:r>
      <w:r w:rsidR="00426935">
        <w:t xml:space="preserve"> Также приложены</w:t>
      </w:r>
      <w:r w:rsidR="00CC366E">
        <w:t xml:space="preserve"> две</w:t>
      </w:r>
      <w:r w:rsidR="00426935">
        <w:t xml:space="preserve"> выписки, подписанные </w:t>
      </w:r>
      <w:r w:rsidR="00CC366E">
        <w:t>государственным</w:t>
      </w:r>
      <w:r w:rsidR="00426935">
        <w:t xml:space="preserve"> регистратором по состоянию на 2013 год. </w:t>
      </w:r>
    </w:p>
    <w:p w:rsidR="00275888" w:rsidRPr="001D5874" w:rsidRDefault="00275888" w:rsidP="00275888">
      <w:pPr>
        <w:autoSpaceDE w:val="0"/>
        <w:autoSpaceDN w:val="0"/>
        <w:adjustRightInd w:val="0"/>
        <w:ind w:right="-2" w:firstLine="567"/>
        <w:jc w:val="both"/>
        <w:rPr>
          <w:color w:val="000000"/>
        </w:rPr>
      </w:pPr>
      <w:r>
        <w:rPr>
          <w:color w:val="000000"/>
        </w:rPr>
        <w:t>В</w:t>
      </w:r>
      <w:r w:rsidRPr="001D5874">
        <w:rPr>
          <w:color w:val="000000"/>
        </w:rPr>
        <w:t xml:space="preserve"> соответствии с подпунктом г) </w:t>
      </w:r>
      <w:r w:rsidR="000F59DF">
        <w:rPr>
          <w:color w:val="000000"/>
        </w:rPr>
        <w:t xml:space="preserve">части 1 </w:t>
      </w:r>
      <w:r w:rsidRPr="001D5874">
        <w:rPr>
          <w:color w:val="000000"/>
        </w:rPr>
        <w:t xml:space="preserve">статьи 3 и подпунктом в) пункта 1 статьи 6 Закона ПМР «О государственной регистрации юридических лиц и индивидуальных предпринимателей в </w:t>
      </w:r>
      <w:r w:rsidR="00AA0ABB">
        <w:rPr>
          <w:color w:val="000000"/>
        </w:rPr>
        <w:t>ПМР</w:t>
      </w:r>
      <w:r>
        <w:rPr>
          <w:color w:val="000000"/>
        </w:rPr>
        <w:t>» п</w:t>
      </w:r>
      <w:r w:rsidRPr="001D5874">
        <w:rPr>
          <w:color w:val="000000"/>
        </w:rPr>
        <w:t>олномочиями по предоставлению сведений государственного реестра обладает</w:t>
      </w:r>
      <w:r w:rsidR="000F59DF">
        <w:rPr>
          <w:color w:val="000000"/>
        </w:rPr>
        <w:t xml:space="preserve"> регистрирующий орган</w:t>
      </w:r>
      <w:r>
        <w:rPr>
          <w:color w:val="000000"/>
        </w:rPr>
        <w:t>.</w:t>
      </w:r>
      <w:r w:rsidRPr="001D5874">
        <w:rPr>
          <w:color w:val="000000"/>
        </w:rPr>
        <w:t xml:space="preserve"> </w:t>
      </w:r>
    </w:p>
    <w:p w:rsidR="00275888" w:rsidRDefault="00275888" w:rsidP="00275888">
      <w:pPr>
        <w:ind w:right="-2" w:firstLine="567"/>
        <w:jc w:val="both"/>
        <w:rPr>
          <w:color w:val="000000"/>
        </w:rPr>
      </w:pPr>
      <w:r w:rsidRPr="001D5874">
        <w:rPr>
          <w:color w:val="000000"/>
        </w:rPr>
        <w:t xml:space="preserve">Полномочиями по обеспечению выполнения функций регистрирующего органа согласно пункту 1 статьи 7 названного Закона наделен государственный регистратор. И </w:t>
      </w:r>
      <w:r w:rsidR="00AA0ABB">
        <w:rPr>
          <w:color w:val="000000"/>
        </w:rPr>
        <w:t>как следует из</w:t>
      </w:r>
      <w:r w:rsidRPr="001D5874">
        <w:rPr>
          <w:color w:val="000000"/>
        </w:rPr>
        <w:t xml:space="preserve"> подпункт</w:t>
      </w:r>
      <w:r w:rsidR="00AA0ABB">
        <w:rPr>
          <w:color w:val="000000"/>
        </w:rPr>
        <w:t>а</w:t>
      </w:r>
      <w:r w:rsidRPr="001D5874">
        <w:rPr>
          <w:color w:val="000000"/>
        </w:rPr>
        <w:t xml:space="preserve"> а) пункта 2 статьи 14 Закона содержащиеся</w:t>
      </w:r>
      <w:r w:rsidRPr="001D5874">
        <w:rPr>
          <w:b/>
          <w:color w:val="000000"/>
        </w:rPr>
        <w:t xml:space="preserve"> </w:t>
      </w:r>
      <w:r w:rsidRPr="001D5874">
        <w:rPr>
          <w:color w:val="000000"/>
        </w:rPr>
        <w:t>в государственном реестре</w:t>
      </w:r>
      <w:r w:rsidRPr="001D5874">
        <w:rPr>
          <w:b/>
          <w:color w:val="000000"/>
        </w:rPr>
        <w:t xml:space="preserve"> </w:t>
      </w:r>
      <w:r w:rsidRPr="001D5874">
        <w:rPr>
          <w:color w:val="000000"/>
        </w:rPr>
        <w:t xml:space="preserve">сведения и документы о юридическом лице предоставляются в виде выписки из данного реестра. </w:t>
      </w:r>
    </w:p>
    <w:p w:rsidR="00275888" w:rsidRDefault="00275888" w:rsidP="00275888">
      <w:pPr>
        <w:ind w:right="-2" w:firstLine="567"/>
        <w:jc w:val="both"/>
      </w:pPr>
      <w:r w:rsidRPr="001D5874">
        <w:rPr>
          <w:color w:val="000000"/>
        </w:rPr>
        <w:lastRenderedPageBreak/>
        <w:t>Таким образом, в целях соблюдения подпункта д) части первой статьи 93 АПК ПМР необходимо направить в Арбитражный суд вып</w:t>
      </w:r>
      <w:r>
        <w:rPr>
          <w:color w:val="000000"/>
        </w:rPr>
        <w:t>и</w:t>
      </w:r>
      <w:r w:rsidRPr="001D5874">
        <w:rPr>
          <w:color w:val="000000"/>
        </w:rPr>
        <w:t>ск</w:t>
      </w:r>
      <w:r>
        <w:rPr>
          <w:color w:val="000000"/>
        </w:rPr>
        <w:t>у</w:t>
      </w:r>
      <w:r w:rsidRPr="001D5874">
        <w:rPr>
          <w:color w:val="000000"/>
        </w:rPr>
        <w:t xml:space="preserve"> из гос</w:t>
      </w:r>
      <w:r>
        <w:rPr>
          <w:color w:val="000000"/>
        </w:rPr>
        <w:t xml:space="preserve">ударственного </w:t>
      </w:r>
      <w:r w:rsidRPr="001D5874">
        <w:rPr>
          <w:color w:val="000000"/>
        </w:rPr>
        <w:t xml:space="preserve">реестра в отношении </w:t>
      </w:r>
      <w:r w:rsidR="00CC366E">
        <w:t>ООО «КапиталСтрой»,</w:t>
      </w:r>
      <w:r>
        <w:rPr>
          <w:color w:val="000000"/>
        </w:rPr>
        <w:t xml:space="preserve"> </w:t>
      </w:r>
      <w:r w:rsidRPr="001D5874">
        <w:rPr>
          <w:color w:val="000000"/>
        </w:rPr>
        <w:t>оформленн</w:t>
      </w:r>
      <w:r>
        <w:rPr>
          <w:color w:val="000000"/>
        </w:rPr>
        <w:t xml:space="preserve">ую </w:t>
      </w:r>
      <w:r w:rsidR="00AA0ABB">
        <w:rPr>
          <w:color w:val="000000"/>
        </w:rPr>
        <w:t xml:space="preserve">и подписанную </w:t>
      </w:r>
      <w:r>
        <w:rPr>
          <w:color w:val="000000"/>
        </w:rPr>
        <w:t xml:space="preserve">в указанном выше порядке, которая </w:t>
      </w:r>
      <w:r w:rsidRPr="000551EE">
        <w:t>должн</w:t>
      </w:r>
      <w:r>
        <w:t>а</w:t>
      </w:r>
      <w:r w:rsidRPr="000551EE">
        <w:t xml:space="preserve"> быть получен</w:t>
      </w:r>
      <w:r>
        <w:t>а</w:t>
      </w:r>
      <w:r w:rsidRPr="000551EE">
        <w:t xml:space="preserve"> не ранее чем за 10 дней до дня обращения </w:t>
      </w:r>
      <w:r w:rsidR="00204DD7">
        <w:t>заявителя</w:t>
      </w:r>
      <w:r w:rsidRPr="000551EE">
        <w:t xml:space="preserve"> в </w:t>
      </w:r>
      <w:r>
        <w:t>А</w:t>
      </w:r>
      <w:r w:rsidRPr="000551EE">
        <w:t>рбитражный суд</w:t>
      </w:r>
      <w:r>
        <w:t>.</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w:t>
      </w:r>
      <w:r w:rsidR="00894E49">
        <w:t>9</w:t>
      </w:r>
      <w:r>
        <w:t xml:space="preserve">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О П Р Е Д Е Л И Л:</w:t>
      </w:r>
    </w:p>
    <w:p w:rsidR="0033702F" w:rsidRDefault="0033702F" w:rsidP="0033702F">
      <w:pPr>
        <w:spacing w:line="19" w:lineRule="atLeast"/>
        <w:ind w:right="-1" w:firstLine="567"/>
        <w:jc w:val="both"/>
        <w:rPr>
          <w:b/>
        </w:rPr>
      </w:pPr>
    </w:p>
    <w:p w:rsidR="00CC366E" w:rsidRDefault="0033702F" w:rsidP="00CC366E">
      <w:pPr>
        <w:spacing w:line="19" w:lineRule="atLeast"/>
        <w:ind w:right="-1" w:firstLine="567"/>
        <w:jc w:val="both"/>
      </w:pPr>
      <w:r w:rsidRPr="005E0993">
        <w:t xml:space="preserve">Оставить без движения </w:t>
      </w:r>
      <w:r>
        <w:t>заявление</w:t>
      </w:r>
      <w:r w:rsidRPr="005E0993">
        <w:t xml:space="preserve"> </w:t>
      </w:r>
      <w:r w:rsidR="00275888" w:rsidRPr="00275888">
        <w:t xml:space="preserve">Налоговой инспекции по г.Тирасполь ГНС МФ ПМР о привлечении к административной ответственности </w:t>
      </w:r>
      <w:r w:rsidR="00CC366E">
        <w:t>ООО «КапиталСтрой».</w:t>
      </w:r>
    </w:p>
    <w:p w:rsidR="0033702F" w:rsidRDefault="008D7949" w:rsidP="00CC366E">
      <w:pPr>
        <w:spacing w:line="19" w:lineRule="atLeast"/>
        <w:ind w:right="-1" w:firstLine="567"/>
        <w:jc w:val="both"/>
      </w:pPr>
      <w:r>
        <w:t>Предложить заявителю</w:t>
      </w:r>
      <w:r w:rsidR="0033702F" w:rsidRPr="00094377">
        <w:t xml:space="preserve"> в срок </w:t>
      </w:r>
      <w:r w:rsidR="0033702F" w:rsidRPr="00AA0ABB">
        <w:rPr>
          <w:b/>
        </w:rPr>
        <w:t xml:space="preserve">до </w:t>
      </w:r>
      <w:r w:rsidR="004D40F5">
        <w:rPr>
          <w:b/>
        </w:rPr>
        <w:t>21.05.</w:t>
      </w:r>
      <w:r w:rsidR="0033702F" w:rsidRPr="00AA0ABB">
        <w:rPr>
          <w:b/>
        </w:rPr>
        <w:t>202</w:t>
      </w:r>
      <w:r w:rsidR="004D40F5">
        <w:rPr>
          <w:b/>
        </w:rPr>
        <w:t>1</w:t>
      </w:r>
      <w:r w:rsidR="0033702F" w:rsidRPr="00AA0ABB">
        <w:rPr>
          <w:b/>
        </w:rPr>
        <w:t xml:space="preserve"> года</w:t>
      </w:r>
      <w:r w:rsidR="004D40F5">
        <w:t xml:space="preserve"> </w:t>
      </w:r>
      <w:r w:rsidR="0033702F" w:rsidRPr="00094377">
        <w:t xml:space="preserve">устранить </w:t>
      </w:r>
      <w:r w:rsidR="00AA0ABB">
        <w:t>указанные в определении недостатки.</w:t>
      </w:r>
    </w:p>
    <w:p w:rsidR="0033702F" w:rsidRPr="00094377" w:rsidRDefault="0033702F" w:rsidP="0033702F">
      <w:pPr>
        <w:ind w:right="-1" w:firstLine="567"/>
        <w:jc w:val="both"/>
      </w:pPr>
      <w:r w:rsidRPr="00094377">
        <w:t>Документ, устраняющи</w:t>
      </w:r>
      <w:r w:rsidR="004C1EAA">
        <w:t>й</w:t>
      </w:r>
      <w:r w:rsidRPr="00094377">
        <w:t xml:space="preserve"> обстоятельства, послужившие основанием для оставления заявления без движения, долж</w:t>
      </w:r>
      <w:r w:rsidR="004C1EAA">
        <w:t>ен</w:t>
      </w:r>
      <w:r w:rsidRPr="00094377">
        <w:t xml:space="preserve"> поступить непосредственно в канцелярию Арбитражного суда ПМР не позднее </w:t>
      </w:r>
      <w:r w:rsidRPr="004D40F5">
        <w:rPr>
          <w:b/>
        </w:rPr>
        <w:t>1</w:t>
      </w:r>
      <w:r w:rsidR="004D40F5" w:rsidRPr="004D40F5">
        <w:rPr>
          <w:b/>
        </w:rPr>
        <w:t>2</w:t>
      </w:r>
      <w:r w:rsidR="002D2071" w:rsidRPr="004D40F5">
        <w:rPr>
          <w:b/>
        </w:rPr>
        <w:t>.00</w:t>
      </w:r>
      <w:r w:rsidRPr="004D40F5">
        <w:rPr>
          <w:b/>
        </w:rPr>
        <w:t xml:space="preserve"> часов </w:t>
      </w:r>
      <w:r w:rsidR="004D40F5" w:rsidRPr="004D40F5">
        <w:rPr>
          <w:b/>
        </w:rPr>
        <w:t>21.05.</w:t>
      </w:r>
      <w:r w:rsidRPr="004D40F5">
        <w:rPr>
          <w:b/>
        </w:rPr>
        <w:t>202</w:t>
      </w:r>
      <w:r w:rsidR="004D40F5" w:rsidRPr="004D40F5">
        <w:rPr>
          <w:b/>
        </w:rPr>
        <w:t>1</w:t>
      </w:r>
      <w:r w:rsidRPr="004D40F5">
        <w:rPr>
          <w:b/>
        </w:rPr>
        <w:t xml:space="preserve"> года</w:t>
      </w:r>
      <w:r>
        <w:t>.</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A5" w:rsidRDefault="004C0DA5" w:rsidP="00747910">
      <w:r>
        <w:separator/>
      </w:r>
    </w:p>
  </w:endnote>
  <w:endnote w:type="continuationSeparator" w:id="1">
    <w:p w:rsidR="004C0DA5" w:rsidRDefault="004C0DA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2C0A13">
    <w:pPr>
      <w:pStyle w:val="a7"/>
      <w:jc w:val="right"/>
    </w:pPr>
    <w:fldSimple w:instr=" PAGE   \* MERGEFORMAT ">
      <w:r w:rsidR="00A75630">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A5" w:rsidRDefault="004C0DA5" w:rsidP="00747910">
      <w:r>
        <w:separator/>
      </w:r>
    </w:p>
  </w:footnote>
  <w:footnote w:type="continuationSeparator" w:id="1">
    <w:p w:rsidR="004C0DA5" w:rsidRDefault="004C0DA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04DD7"/>
    <w:rsid w:val="00212E13"/>
    <w:rsid w:val="00221F89"/>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B05B4"/>
    <w:rsid w:val="002B36F7"/>
    <w:rsid w:val="002C0A13"/>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26935"/>
    <w:rsid w:val="00435D1A"/>
    <w:rsid w:val="00444EB1"/>
    <w:rsid w:val="004605D2"/>
    <w:rsid w:val="00460E9E"/>
    <w:rsid w:val="004712D9"/>
    <w:rsid w:val="00471363"/>
    <w:rsid w:val="004773FE"/>
    <w:rsid w:val="0048795F"/>
    <w:rsid w:val="004A01C7"/>
    <w:rsid w:val="004A7283"/>
    <w:rsid w:val="004B0F41"/>
    <w:rsid w:val="004B1ACD"/>
    <w:rsid w:val="004C0DA5"/>
    <w:rsid w:val="004C1EAA"/>
    <w:rsid w:val="004C56EA"/>
    <w:rsid w:val="004C701C"/>
    <w:rsid w:val="004D052C"/>
    <w:rsid w:val="004D38A6"/>
    <w:rsid w:val="004D40F5"/>
    <w:rsid w:val="004F7B6D"/>
    <w:rsid w:val="00503FA0"/>
    <w:rsid w:val="0051667D"/>
    <w:rsid w:val="00516DB6"/>
    <w:rsid w:val="00521797"/>
    <w:rsid w:val="005237A0"/>
    <w:rsid w:val="00527E4B"/>
    <w:rsid w:val="0053648F"/>
    <w:rsid w:val="0057381C"/>
    <w:rsid w:val="00576ABA"/>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75630"/>
    <w:rsid w:val="00A95030"/>
    <w:rsid w:val="00AA0ABB"/>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C366E"/>
    <w:rsid w:val="00CD7604"/>
    <w:rsid w:val="00D076AB"/>
    <w:rsid w:val="00D30E82"/>
    <w:rsid w:val="00D32113"/>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2021-05-12T11:36:00Z</cp:lastPrinted>
  <dcterms:created xsi:type="dcterms:W3CDTF">2020-11-19T12:49:00Z</dcterms:created>
  <dcterms:modified xsi:type="dcterms:W3CDTF">2021-05-12T11:36:00Z</dcterms:modified>
</cp:coreProperties>
</file>