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916D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325BD">
            <w:pPr>
              <w:rPr>
                <w:rFonts w:eastAsia="Calibri"/>
                <w:bCs/>
                <w:sz w:val="20"/>
                <w:szCs w:val="20"/>
                <w:u w:val="single"/>
              </w:rPr>
            </w:pPr>
            <w:r w:rsidRPr="00D806E8">
              <w:rPr>
                <w:rFonts w:eastAsia="Calibri"/>
                <w:u w:val="single"/>
              </w:rPr>
              <w:t>«</w:t>
            </w:r>
            <w:r w:rsidR="00D325BD">
              <w:rPr>
                <w:rFonts w:eastAsia="Calibri"/>
                <w:u w:val="single"/>
              </w:rPr>
              <w:t>26</w:t>
            </w:r>
            <w:r w:rsidRPr="00D806E8">
              <w:rPr>
                <w:rFonts w:eastAsia="Calibri"/>
                <w:u w:val="single"/>
              </w:rPr>
              <w:t xml:space="preserve">» </w:t>
            </w:r>
            <w:r w:rsidR="00D325BD">
              <w:rPr>
                <w:rFonts w:eastAsia="Calibri"/>
                <w:u w:val="single"/>
              </w:rPr>
              <w:t>апреля</w:t>
            </w:r>
            <w:r>
              <w:rPr>
                <w:rFonts w:eastAsia="Calibri"/>
                <w:u w:val="single"/>
              </w:rPr>
              <w:t xml:space="preserve"> 202</w:t>
            </w:r>
            <w:r w:rsidR="00D325BD">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325BD">
              <w:rPr>
                <w:rFonts w:eastAsia="Calibri"/>
                <w:bCs/>
                <w:u w:val="single"/>
              </w:rPr>
              <w:t xml:space="preserve">Дело </w:t>
            </w:r>
            <w:r w:rsidRPr="00D325BD">
              <w:rPr>
                <w:rFonts w:eastAsia="Calibri"/>
                <w:u w:val="single"/>
              </w:rPr>
              <w:t xml:space="preserve">№ </w:t>
            </w:r>
            <w:r w:rsidR="00D325BD" w:rsidRPr="00D325BD">
              <w:rPr>
                <w:rFonts w:eastAsia="Calibri"/>
                <w:u w:val="single"/>
              </w:rPr>
              <w:t>304</w:t>
            </w:r>
            <w:r w:rsidRPr="00D325BD">
              <w:rPr>
                <w:rFonts w:eastAsia="Calibri"/>
                <w:u w:val="single"/>
              </w:rPr>
              <w:t>/2</w:t>
            </w:r>
            <w:r w:rsidR="00D325BD" w:rsidRPr="00D325BD">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431C13">
        <w:t xml:space="preserve"> ООО «</w:t>
      </w:r>
      <w:proofErr w:type="spellStart"/>
      <w:r w:rsidR="00D325BD">
        <w:t>Динисал</w:t>
      </w:r>
      <w:proofErr w:type="spellEnd"/>
      <w:r w:rsidR="00431C13">
        <w:t>» (г</w:t>
      </w:r>
      <w:proofErr w:type="gramStart"/>
      <w:r w:rsidR="00431C13">
        <w:t>.</w:t>
      </w:r>
      <w:r w:rsidR="00D325BD">
        <w:t>Б</w:t>
      </w:r>
      <w:proofErr w:type="gramEnd"/>
      <w:r w:rsidR="00D325BD">
        <w:t>ендеры ул.Т.Кручок, д.27 к.4</w:t>
      </w:r>
      <w:r w:rsidR="00431C13">
        <w:t>) к ООО «</w:t>
      </w:r>
      <w:r w:rsidR="00D325BD">
        <w:t>Доброва</w:t>
      </w:r>
      <w:r w:rsidR="00431C13">
        <w:t>» (г.</w:t>
      </w:r>
      <w:r w:rsidR="00D325BD">
        <w:t>Бендеры ул.Панина,6</w:t>
      </w:r>
      <w:r w:rsidR="00431C13">
        <w:t xml:space="preserve">) о </w:t>
      </w:r>
      <w:r w:rsidR="00D325BD">
        <w:t xml:space="preserve">расторжении договора, </w:t>
      </w:r>
      <w:r w:rsidR="00431C13">
        <w:t xml:space="preserve">взыскании </w:t>
      </w:r>
      <w:r w:rsidR="00D325BD">
        <w:t>неосновательного обогащения</w:t>
      </w:r>
      <w:r w:rsidRPr="007476ED">
        <w:rPr>
          <w:color w:val="000000" w:themeColor="text1"/>
        </w:rPr>
        <w:t>, а также изучив приложенные к нему документы,</w:t>
      </w:r>
    </w:p>
    <w:p w:rsidR="00431C13" w:rsidRDefault="00431C13" w:rsidP="00431C13">
      <w:pPr>
        <w:tabs>
          <w:tab w:val="right" w:pos="10148"/>
        </w:tabs>
        <w:ind w:firstLine="900"/>
        <w:jc w:val="center"/>
      </w:pPr>
      <w:r w:rsidRPr="00FF7E7C">
        <w:rPr>
          <w:b/>
        </w:rPr>
        <w:t>установил</w:t>
      </w:r>
      <w:r w:rsidRPr="00045342">
        <w:t>:</w:t>
      </w:r>
    </w:p>
    <w:p w:rsidR="00431C13" w:rsidRDefault="00431C13" w:rsidP="00431C13">
      <w:pPr>
        <w:tabs>
          <w:tab w:val="right" w:pos="10148"/>
        </w:tabs>
        <w:ind w:firstLine="900"/>
        <w:jc w:val="center"/>
      </w:pPr>
    </w:p>
    <w:p w:rsidR="00431C13" w:rsidRDefault="00593628" w:rsidP="00DC0596">
      <w:pPr>
        <w:tabs>
          <w:tab w:val="right" w:pos="10148"/>
        </w:tabs>
        <w:ind w:firstLine="567"/>
        <w:jc w:val="both"/>
      </w:pPr>
      <w:r>
        <w:t>И</w:t>
      </w:r>
      <w:r w:rsidR="00431C13">
        <w:t>сковое заявление подано с нарушением требований ст</w:t>
      </w:r>
      <w:r w:rsidR="00B506BA">
        <w:t xml:space="preserve">атьи </w:t>
      </w:r>
      <w:r w:rsidR="00431C13">
        <w:t>93 АПК ПМР.</w:t>
      </w:r>
    </w:p>
    <w:p w:rsidR="00E80958" w:rsidRDefault="00DC0596" w:rsidP="00DC0596">
      <w:pPr>
        <w:tabs>
          <w:tab w:val="right" w:pos="10148"/>
        </w:tabs>
        <w:ind w:firstLine="567"/>
        <w:jc w:val="both"/>
      </w:pPr>
      <w:r>
        <w:t>Так, в</w:t>
      </w:r>
      <w:r w:rsidR="00431C13">
        <w:t xml:space="preserve"> соответствии </w:t>
      </w:r>
      <w:r w:rsidR="00D325BD">
        <w:t xml:space="preserve">с </w:t>
      </w:r>
      <w:r w:rsidR="00431C13">
        <w:t>п.п</w:t>
      </w:r>
      <w:proofErr w:type="gramStart"/>
      <w:r w:rsidR="00431C13">
        <w:t>.</w:t>
      </w:r>
      <w:r w:rsidR="00593628">
        <w:t>а</w:t>
      </w:r>
      <w:proofErr w:type="gramEnd"/>
      <w:r w:rsidR="00593628">
        <w:t>)</w:t>
      </w:r>
      <w:r w:rsidR="00B506BA">
        <w:t xml:space="preserve"> части 1</w:t>
      </w:r>
      <w:r w:rsidR="00431C13">
        <w:t xml:space="preserve"> ст</w:t>
      </w:r>
      <w:r w:rsidR="00E80958">
        <w:t>атьи</w:t>
      </w:r>
      <w:r w:rsidR="00431C13">
        <w:t xml:space="preserve"> 93 АПК ПМР к исковому заявлению </w:t>
      </w:r>
      <w:r w:rsidR="00593628">
        <w:t>долж</w:t>
      </w:r>
      <w:r w:rsidR="00E80958">
        <w:t>ен</w:t>
      </w:r>
      <w:r w:rsidR="00593628">
        <w:t xml:space="preserve"> быть приложен</w:t>
      </w:r>
      <w:r w:rsidR="00E80958" w:rsidRPr="00E80958">
        <w:t xml:space="preserve">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r w:rsidR="00E80958">
        <w:t>.</w:t>
      </w:r>
    </w:p>
    <w:p w:rsidR="00E80958" w:rsidRDefault="00E80958" w:rsidP="00DC0596">
      <w:pPr>
        <w:tabs>
          <w:tab w:val="right" w:pos="10148"/>
        </w:tabs>
        <w:ind w:firstLine="567"/>
        <w:jc w:val="both"/>
      </w:pPr>
      <w:r>
        <w:t>Как усмат</w:t>
      </w:r>
      <w:r w:rsidR="00DC0596">
        <w:t>ривается из поданного в суд искового заявления</w:t>
      </w:r>
      <w:r>
        <w:t>, истцом заявлены требования имущественного характера на сумму 16 604 рубля ПМР, а также требования неимущественного характера о расторжении договора № 030 от 26.06.2018 г.</w:t>
      </w:r>
    </w:p>
    <w:p w:rsidR="00E80958" w:rsidRPr="00E80958" w:rsidRDefault="00E80958" w:rsidP="00DC0596">
      <w:pPr>
        <w:tabs>
          <w:tab w:val="right" w:pos="10148"/>
        </w:tabs>
        <w:ind w:firstLine="567"/>
        <w:jc w:val="both"/>
      </w:pPr>
      <w:r>
        <w:t xml:space="preserve">В соответствии с пунктом 2 статьи 4 Закона ПМР «О государственной пошлине», с исковых заявлений имущественного </w:t>
      </w:r>
      <w:r w:rsidR="00467A2E">
        <w:t xml:space="preserve">характера при цене иска от 10 тысяч до 50 </w:t>
      </w:r>
      <w:proofErr w:type="gramStart"/>
      <w:r w:rsidR="00467A2E">
        <w:t>тысяч рублей взимается</w:t>
      </w:r>
      <w:proofErr w:type="gramEnd"/>
      <w:r w:rsidR="00467A2E">
        <w:t xml:space="preserve"> госпошлина в размере 500 рублей </w:t>
      </w:r>
      <w:r w:rsidR="00CF3562">
        <w:t>+</w:t>
      </w:r>
      <w:r w:rsidR="00467A2E">
        <w:t xml:space="preserve"> 4% от суммы свыше 10 тысяч рублей.</w:t>
      </w:r>
    </w:p>
    <w:p w:rsidR="00593628" w:rsidRDefault="00CF3562" w:rsidP="00DC0596">
      <w:pPr>
        <w:ind w:firstLine="567"/>
        <w:jc w:val="both"/>
      </w:pPr>
      <w:r>
        <w:t xml:space="preserve">С исковых заявлений по спорам, возникшим при расторжении договора- 100 РУ МЗП. </w:t>
      </w:r>
    </w:p>
    <w:p w:rsidR="00E80958" w:rsidRPr="00B506BA" w:rsidRDefault="00CF3562" w:rsidP="00DC0596">
      <w:pPr>
        <w:ind w:firstLine="567"/>
        <w:jc w:val="both"/>
        <w:rPr>
          <w:color w:val="000000" w:themeColor="text1"/>
        </w:rPr>
      </w:pPr>
      <w:r>
        <w:t xml:space="preserve">За исковые заявления, содержащие одновременно требования имущественного и неимущественного характера взимается одновременно госпошлина, установленная для исковых </w:t>
      </w:r>
      <w:r w:rsidRPr="00B506BA">
        <w:rPr>
          <w:color w:val="000000" w:themeColor="text1"/>
        </w:rPr>
        <w:t xml:space="preserve">заявлений имущественного характера и для исковых заявлений неимущественного характера. </w:t>
      </w:r>
    </w:p>
    <w:p w:rsidR="00E80958" w:rsidRDefault="008D3864" w:rsidP="00DC0596">
      <w:pPr>
        <w:ind w:firstLine="567"/>
        <w:jc w:val="both"/>
        <w:rPr>
          <w:color w:val="000000" w:themeColor="text1"/>
        </w:rPr>
      </w:pPr>
      <w:r w:rsidRPr="00B506BA">
        <w:rPr>
          <w:color w:val="000000" w:themeColor="text1"/>
        </w:rPr>
        <w:t>С учетом приведенной</w:t>
      </w:r>
      <w:r>
        <w:t xml:space="preserve"> нормы, истец при подаче иска в суд должен был оплатить госпошлину в размере 764,16 рублей по требованиям имущественного характера, а также  1450 рублей по требованиям неимущественного характера, а всего </w:t>
      </w:r>
      <w:r w:rsidR="00DC0596">
        <w:t>-</w:t>
      </w:r>
      <w:r>
        <w:t>2 214,</w:t>
      </w:r>
      <w:r w:rsidR="00AE2F9B">
        <w:t>16</w:t>
      </w:r>
      <w:r>
        <w:t xml:space="preserve"> рубля. </w:t>
      </w:r>
    </w:p>
    <w:p w:rsidR="00B506BA" w:rsidRPr="00B506BA" w:rsidRDefault="00DC0596" w:rsidP="00DC0596">
      <w:pPr>
        <w:tabs>
          <w:tab w:val="right" w:pos="10148"/>
        </w:tabs>
        <w:ind w:firstLine="567"/>
        <w:jc w:val="both"/>
        <w:rPr>
          <w:color w:val="000000" w:themeColor="text1"/>
        </w:rPr>
      </w:pPr>
      <w:r>
        <w:rPr>
          <w:color w:val="000000" w:themeColor="text1"/>
        </w:rPr>
        <w:t xml:space="preserve">Однако, в </w:t>
      </w:r>
      <w:r w:rsidR="00431C13" w:rsidRPr="00B506BA">
        <w:rPr>
          <w:color w:val="000000" w:themeColor="text1"/>
        </w:rPr>
        <w:t xml:space="preserve"> нарушение </w:t>
      </w:r>
      <w:r w:rsidR="00B506BA" w:rsidRPr="00B506BA">
        <w:rPr>
          <w:color w:val="000000" w:themeColor="text1"/>
        </w:rPr>
        <w:t>п.п</w:t>
      </w:r>
      <w:proofErr w:type="gramStart"/>
      <w:r w:rsidR="00B506BA" w:rsidRPr="00B506BA">
        <w:rPr>
          <w:color w:val="000000" w:themeColor="text1"/>
        </w:rPr>
        <w:t>.а</w:t>
      </w:r>
      <w:proofErr w:type="gramEnd"/>
      <w:r w:rsidR="00B506BA" w:rsidRPr="00B506BA">
        <w:rPr>
          <w:color w:val="000000" w:themeColor="text1"/>
        </w:rPr>
        <w:t xml:space="preserve">) части 1 статьи 93 АПК ПМР </w:t>
      </w:r>
      <w:r w:rsidR="00431C13" w:rsidRPr="00B506BA">
        <w:rPr>
          <w:color w:val="000000" w:themeColor="text1"/>
        </w:rPr>
        <w:t xml:space="preserve">к </w:t>
      </w:r>
      <w:r w:rsidR="00233F99" w:rsidRPr="00B506BA">
        <w:rPr>
          <w:color w:val="000000" w:themeColor="text1"/>
        </w:rPr>
        <w:t>исковому заявлению</w:t>
      </w:r>
      <w:r w:rsidR="00431C13" w:rsidRPr="00B506BA">
        <w:rPr>
          <w:color w:val="000000" w:themeColor="text1"/>
        </w:rPr>
        <w:t xml:space="preserve"> не приложен</w:t>
      </w:r>
      <w:r w:rsidR="00593628" w:rsidRPr="00B506BA">
        <w:rPr>
          <w:color w:val="000000" w:themeColor="text1"/>
        </w:rPr>
        <w:t xml:space="preserve"> документ</w:t>
      </w:r>
      <w:r w:rsidR="00B506BA" w:rsidRPr="00B506BA">
        <w:rPr>
          <w:color w:val="000000" w:themeColor="text1"/>
        </w:rPr>
        <w:t xml:space="preserve">, подтверждающий оплату истцом государственной пошлины в указанном размере. </w:t>
      </w:r>
    </w:p>
    <w:p w:rsidR="00B506BA" w:rsidRPr="00B506BA" w:rsidRDefault="00B506BA" w:rsidP="00DC0596">
      <w:pPr>
        <w:tabs>
          <w:tab w:val="right" w:pos="10148"/>
        </w:tabs>
        <w:ind w:firstLine="567"/>
        <w:jc w:val="both"/>
        <w:rPr>
          <w:color w:val="000000" w:themeColor="text1"/>
        </w:rPr>
      </w:pPr>
      <w:r w:rsidRPr="00B506BA">
        <w:rPr>
          <w:color w:val="000000" w:themeColor="text1"/>
        </w:rPr>
        <w:t>Согласно приложенно</w:t>
      </w:r>
      <w:r w:rsidR="0045586A">
        <w:rPr>
          <w:color w:val="000000" w:themeColor="text1"/>
        </w:rPr>
        <w:t>го</w:t>
      </w:r>
      <w:r w:rsidRPr="00B506BA">
        <w:rPr>
          <w:color w:val="000000" w:themeColor="text1"/>
        </w:rPr>
        <w:t xml:space="preserve"> к иску </w:t>
      </w:r>
      <w:r w:rsidR="0045586A">
        <w:rPr>
          <w:color w:val="000000" w:themeColor="text1"/>
        </w:rPr>
        <w:t>платежного поручения</w:t>
      </w:r>
      <w:r w:rsidRPr="00B506BA">
        <w:rPr>
          <w:color w:val="000000" w:themeColor="text1"/>
        </w:rPr>
        <w:t>, истец оплатил госпошлину в размере 740 рублей. Таким образом, истцу необходимо доплатить госпошлину на сумму 1 474,</w:t>
      </w:r>
      <w:r w:rsidR="007400A6">
        <w:rPr>
          <w:color w:val="000000" w:themeColor="text1"/>
        </w:rPr>
        <w:t>16</w:t>
      </w:r>
      <w:r w:rsidRPr="00B506BA">
        <w:rPr>
          <w:color w:val="000000" w:themeColor="text1"/>
        </w:rPr>
        <w:t xml:space="preserve"> рубля. </w:t>
      </w:r>
    </w:p>
    <w:p w:rsidR="00AE2F9B" w:rsidRDefault="00AE2F9B" w:rsidP="00DC0596">
      <w:pPr>
        <w:tabs>
          <w:tab w:val="right" w:pos="10148"/>
        </w:tabs>
        <w:ind w:firstLine="567"/>
        <w:jc w:val="both"/>
      </w:pPr>
    </w:p>
    <w:p w:rsidR="00AE2F9B" w:rsidRDefault="00AE2F9B" w:rsidP="00DC0596">
      <w:pPr>
        <w:tabs>
          <w:tab w:val="right" w:pos="10148"/>
        </w:tabs>
        <w:ind w:firstLine="567"/>
        <w:jc w:val="both"/>
      </w:pPr>
    </w:p>
    <w:p w:rsidR="00AE2F9B" w:rsidRDefault="00AE2F9B" w:rsidP="00DC0596">
      <w:pPr>
        <w:tabs>
          <w:tab w:val="right" w:pos="10148"/>
        </w:tabs>
        <w:ind w:firstLine="567"/>
        <w:jc w:val="both"/>
      </w:pPr>
    </w:p>
    <w:p w:rsidR="00DA6906" w:rsidRPr="00DA6906" w:rsidRDefault="00DA6906" w:rsidP="00DC0596">
      <w:pPr>
        <w:ind w:firstLine="567"/>
        <w:jc w:val="both"/>
      </w:pPr>
      <w:r>
        <w:t>К</w:t>
      </w:r>
      <w:r w:rsidRPr="00DA6906">
        <w:t xml:space="preserve">роме того, в </w:t>
      </w:r>
      <w:r w:rsidR="00124C38">
        <w:t>нарушение</w:t>
      </w:r>
      <w:r w:rsidRPr="00DA6906">
        <w:t xml:space="preserve"> </w:t>
      </w:r>
      <w:proofErr w:type="spellStart"/>
      <w:r w:rsidRPr="00DA6906">
        <w:t>подп</w:t>
      </w:r>
      <w:proofErr w:type="gramStart"/>
      <w:r w:rsidRPr="00DA6906">
        <w:t>.г</w:t>
      </w:r>
      <w:proofErr w:type="spellEnd"/>
      <w:proofErr w:type="gramEnd"/>
      <w:r w:rsidRPr="00DA6906">
        <w:t xml:space="preserve">)  части 1 статьи 93 АПК ПМР к исковому заявлению </w:t>
      </w:r>
      <w:r w:rsidR="00124C38">
        <w:t xml:space="preserve">не приложена справка ПРБ, подтверждающая размер примененной истцом в расчетах ставки банковского процента (рефинансирования) за период с сентября 2018 г. по день подачи  иска в суд. </w:t>
      </w:r>
    </w:p>
    <w:p w:rsidR="00431C13" w:rsidRDefault="00431C13" w:rsidP="00DC0596">
      <w:pPr>
        <w:tabs>
          <w:tab w:val="right" w:pos="10148"/>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DC0596">
      <w:pPr>
        <w:spacing w:line="19" w:lineRule="atLeast"/>
        <w:ind w:firstLine="567"/>
        <w:jc w:val="both"/>
        <w:rPr>
          <w:color w:val="000000"/>
        </w:rPr>
      </w:pPr>
      <w:r>
        <w:t xml:space="preserve">При таких обстоятельствах, учитывая, что </w:t>
      </w:r>
      <w:r w:rsidR="00DD55BA">
        <w:t xml:space="preserve">исковое </w:t>
      </w:r>
      <w:r>
        <w:t>заявление подано с нарушением  требований</w:t>
      </w:r>
      <w:r w:rsidR="00124C38">
        <w:t xml:space="preserve">, установленных </w:t>
      </w:r>
      <w:r w:rsidRPr="007476ED">
        <w:t>стать</w:t>
      </w:r>
      <w:r w:rsidR="00124C38">
        <w:t>ей</w:t>
      </w:r>
      <w:r w:rsidRPr="007476ED">
        <w:t xml:space="preserve"> 93 АПК ПМР</w:t>
      </w:r>
      <w:r>
        <w:t xml:space="preserve">, оно подлежит оставлению без движения с предоставлением срока для устранения недостатков.   </w:t>
      </w:r>
    </w:p>
    <w:p w:rsidR="00233F99" w:rsidRDefault="00431C13" w:rsidP="00DC0596">
      <w:pPr>
        <w:spacing w:line="19" w:lineRule="atLeast"/>
        <w:ind w:firstLine="567"/>
        <w:jc w:val="both"/>
      </w:pPr>
      <w:r>
        <w:t>На основании изложенного и руководствуясь ст</w:t>
      </w:r>
      <w:r w:rsidR="00B506BA">
        <w:t xml:space="preserve">атьями </w:t>
      </w:r>
      <w:r>
        <w:t xml:space="preserve">93, 96-1, 128 </w:t>
      </w:r>
      <w:r w:rsidR="00233F99">
        <w:t>Арбитражного процессуального кодекса Приднестровской Молдавской Республики,</w:t>
      </w:r>
    </w:p>
    <w:p w:rsidR="00C4466F" w:rsidRDefault="00C4466F" w:rsidP="00C4466F">
      <w:pPr>
        <w:ind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124C38" w:rsidRPr="00124C38">
        <w:t xml:space="preserve"> </w:t>
      </w:r>
      <w:r w:rsidR="00124C38">
        <w:t>ООО «</w:t>
      </w:r>
      <w:proofErr w:type="spellStart"/>
      <w:r w:rsidR="00124C38">
        <w:t>Динисал</w:t>
      </w:r>
      <w:proofErr w:type="spellEnd"/>
      <w:r w:rsidR="00124C38">
        <w:t>» к ООО «Доброва» о расторжении договора, взыскании неосновательного обогащения</w:t>
      </w:r>
      <w:r w:rsidR="00124C38" w:rsidRPr="00124C38">
        <w:rPr>
          <w:color w:val="000000" w:themeColor="text1"/>
        </w:rPr>
        <w:t>,</w:t>
      </w:r>
      <w:r w:rsidR="00C4466F">
        <w:t xml:space="preserve"> оставить без движения. </w:t>
      </w:r>
    </w:p>
    <w:p w:rsidR="00C4466F" w:rsidRDefault="00124C38" w:rsidP="00C4466F">
      <w:pPr>
        <w:numPr>
          <w:ilvl w:val="0"/>
          <w:numId w:val="5"/>
        </w:numPr>
        <w:ind w:left="0" w:firstLine="709"/>
        <w:jc w:val="both"/>
      </w:pPr>
      <w:r>
        <w:t xml:space="preserve">Предложить </w:t>
      </w:r>
      <w:r w:rsidR="00DC0596">
        <w:t>истцу</w:t>
      </w:r>
      <w:r>
        <w:t xml:space="preserve"> в срок </w:t>
      </w:r>
      <w:r w:rsidRPr="00DC0596">
        <w:rPr>
          <w:b/>
        </w:rPr>
        <w:t xml:space="preserve">до 07 мая </w:t>
      </w:r>
      <w:r w:rsidR="00C4466F" w:rsidRPr="00DC0596">
        <w:rPr>
          <w:b/>
        </w:rPr>
        <w:t>202</w:t>
      </w:r>
      <w:r w:rsidRPr="00DC0596">
        <w:rPr>
          <w:b/>
        </w:rPr>
        <w:t>1</w:t>
      </w:r>
      <w:r w:rsidR="00C4466F" w:rsidRPr="00DC0596">
        <w:rPr>
          <w:b/>
        </w:rPr>
        <w:t xml:space="preserve"> года</w:t>
      </w:r>
      <w:r w:rsidR="00C4466F">
        <w:t xml:space="preserve"> 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DC0596">
        <w:t xml:space="preserve">искового </w:t>
      </w:r>
      <w:r>
        <w:t xml:space="preserve">заявления без движения, должны поступить непосредственно в канцелярию Арбитражного суда ПМР не позднее </w:t>
      </w:r>
      <w:r w:rsidRPr="00DC0596">
        <w:rPr>
          <w:b/>
        </w:rPr>
        <w:t>1</w:t>
      </w:r>
      <w:r w:rsidR="00124C38" w:rsidRPr="00DC0596">
        <w:rPr>
          <w:b/>
        </w:rPr>
        <w:t>2.00.</w:t>
      </w:r>
      <w:r w:rsidRPr="00DC0596">
        <w:rPr>
          <w:b/>
        </w:rPr>
        <w:t xml:space="preserve"> часов </w:t>
      </w:r>
      <w:r w:rsidR="00124C38" w:rsidRPr="00DC0596">
        <w:rPr>
          <w:b/>
        </w:rPr>
        <w:t>07</w:t>
      </w:r>
      <w:r w:rsidR="00430AD7" w:rsidRPr="00DC0596">
        <w:rPr>
          <w:b/>
        </w:rPr>
        <w:t xml:space="preserve"> мая</w:t>
      </w:r>
      <w:r w:rsidRPr="00DC0596">
        <w:rPr>
          <w:b/>
        </w:rPr>
        <w:t xml:space="preserve"> 202</w:t>
      </w:r>
      <w:r w:rsidR="00124C38" w:rsidRPr="00DC0596">
        <w:rPr>
          <w:b/>
        </w:rPr>
        <w:t>1</w:t>
      </w:r>
      <w:r w:rsidRPr="00DC0596">
        <w:rPr>
          <w:b/>
        </w:rPr>
        <w:t xml:space="preserve"> </w:t>
      </w:r>
      <w:r w:rsidRPr="00DC0596">
        <w:t>года.</w:t>
      </w:r>
      <w:r w:rsidRPr="00430AD7">
        <w:t xml:space="preserve">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FF32CB"/>
    <w:p w:rsidR="00717526" w:rsidRPr="00FF32CB" w:rsidRDefault="00FF32CB" w:rsidP="00FF32CB">
      <w:pPr>
        <w:tabs>
          <w:tab w:val="left" w:pos="3860"/>
        </w:tabs>
      </w:pPr>
      <w:r>
        <w:tab/>
      </w:r>
    </w:p>
    <w:sectPr w:rsidR="00717526" w:rsidRPr="00FF32CB" w:rsidSect="00B506BA">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9FD" w:rsidRDefault="00F809FD" w:rsidP="00747910">
      <w:r>
        <w:separator/>
      </w:r>
    </w:p>
  </w:endnote>
  <w:endnote w:type="continuationSeparator" w:id="1">
    <w:p w:rsidR="00F809FD" w:rsidRDefault="00F809F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0916DA">
    <w:pPr>
      <w:pStyle w:val="a7"/>
      <w:jc w:val="right"/>
    </w:pPr>
    <w:fldSimple w:instr=" PAGE   \* MERGEFORMAT ">
      <w:r w:rsidR="0045586A">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9FD" w:rsidRDefault="00F809FD" w:rsidP="00747910">
      <w:r>
        <w:separator/>
      </w:r>
    </w:p>
  </w:footnote>
  <w:footnote w:type="continuationSeparator" w:id="1">
    <w:p w:rsidR="00F809FD" w:rsidRDefault="00F809F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90138"/>
    <w:rsid w:val="000916DA"/>
    <w:rsid w:val="000A546F"/>
    <w:rsid w:val="000A5F1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4C38"/>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5586A"/>
    <w:rsid w:val="00467A2E"/>
    <w:rsid w:val="004712D9"/>
    <w:rsid w:val="00471363"/>
    <w:rsid w:val="0048795F"/>
    <w:rsid w:val="004A01C7"/>
    <w:rsid w:val="004A56D7"/>
    <w:rsid w:val="004A7283"/>
    <w:rsid w:val="004B0F41"/>
    <w:rsid w:val="004B1ACD"/>
    <w:rsid w:val="004C56EA"/>
    <w:rsid w:val="004C701C"/>
    <w:rsid w:val="004D052C"/>
    <w:rsid w:val="004D38A6"/>
    <w:rsid w:val="004F2FAE"/>
    <w:rsid w:val="004F7B6D"/>
    <w:rsid w:val="00503FA0"/>
    <w:rsid w:val="0051667D"/>
    <w:rsid w:val="00516DB6"/>
    <w:rsid w:val="00526E29"/>
    <w:rsid w:val="00527E4B"/>
    <w:rsid w:val="0053648F"/>
    <w:rsid w:val="00571459"/>
    <w:rsid w:val="0057381C"/>
    <w:rsid w:val="00576ABA"/>
    <w:rsid w:val="00592802"/>
    <w:rsid w:val="00593628"/>
    <w:rsid w:val="005943EE"/>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00A6"/>
    <w:rsid w:val="00743537"/>
    <w:rsid w:val="007476E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6119"/>
    <w:rsid w:val="00861ECF"/>
    <w:rsid w:val="00862B73"/>
    <w:rsid w:val="00873966"/>
    <w:rsid w:val="00895F84"/>
    <w:rsid w:val="008A11D6"/>
    <w:rsid w:val="008B1463"/>
    <w:rsid w:val="008B2FB0"/>
    <w:rsid w:val="008B6043"/>
    <w:rsid w:val="008D3161"/>
    <w:rsid w:val="008D3864"/>
    <w:rsid w:val="008D47DA"/>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2F9B"/>
    <w:rsid w:val="00AE4C95"/>
    <w:rsid w:val="00AE51C6"/>
    <w:rsid w:val="00AF1989"/>
    <w:rsid w:val="00AF591D"/>
    <w:rsid w:val="00B0074F"/>
    <w:rsid w:val="00B14971"/>
    <w:rsid w:val="00B368B6"/>
    <w:rsid w:val="00B40322"/>
    <w:rsid w:val="00B506BA"/>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3562"/>
    <w:rsid w:val="00D076AB"/>
    <w:rsid w:val="00D30E82"/>
    <w:rsid w:val="00D325BD"/>
    <w:rsid w:val="00D3592B"/>
    <w:rsid w:val="00D444A2"/>
    <w:rsid w:val="00D54A1E"/>
    <w:rsid w:val="00D668F4"/>
    <w:rsid w:val="00D806E8"/>
    <w:rsid w:val="00D813D9"/>
    <w:rsid w:val="00D92379"/>
    <w:rsid w:val="00D96E34"/>
    <w:rsid w:val="00D974C2"/>
    <w:rsid w:val="00D97DC4"/>
    <w:rsid w:val="00DA4BE7"/>
    <w:rsid w:val="00DA4F00"/>
    <w:rsid w:val="00DA6906"/>
    <w:rsid w:val="00DC0418"/>
    <w:rsid w:val="00DC0596"/>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0958"/>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09FD"/>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578</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2021-04-26T11:07:00Z</cp:lastPrinted>
  <dcterms:created xsi:type="dcterms:W3CDTF">2020-05-13T06:16:00Z</dcterms:created>
  <dcterms:modified xsi:type="dcterms:W3CDTF">2021-04-26T11:07:00Z</dcterms:modified>
</cp:coreProperties>
</file>