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5452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D9346E">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862E90">
            <w:pPr>
              <w:rPr>
                <w:rFonts w:eastAsia="Calibri"/>
                <w:bCs/>
                <w:sz w:val="20"/>
                <w:szCs w:val="20"/>
                <w:u w:val="single"/>
              </w:rPr>
            </w:pPr>
            <w:r w:rsidRPr="00D806E8">
              <w:rPr>
                <w:rFonts w:eastAsia="Calibri"/>
                <w:u w:val="single"/>
              </w:rPr>
              <w:t>«</w:t>
            </w:r>
            <w:r w:rsidR="00862E90">
              <w:rPr>
                <w:rFonts w:eastAsia="Calibri"/>
                <w:u w:val="single"/>
              </w:rPr>
              <w:t>20</w:t>
            </w:r>
            <w:r w:rsidRPr="00D806E8">
              <w:rPr>
                <w:rFonts w:eastAsia="Calibri"/>
                <w:u w:val="single"/>
              </w:rPr>
              <w:t xml:space="preserve">» </w:t>
            </w:r>
            <w:r w:rsidR="00862E90">
              <w:rPr>
                <w:rFonts w:eastAsia="Calibri"/>
                <w:u w:val="single"/>
              </w:rPr>
              <w:t>апреля</w:t>
            </w:r>
            <w:r>
              <w:rPr>
                <w:rFonts w:eastAsia="Calibri"/>
                <w:u w:val="single"/>
              </w:rPr>
              <w:t xml:space="preserve"> 202</w:t>
            </w:r>
            <w:r w:rsidR="006F7FAF">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862E90">
              <w:rPr>
                <w:rFonts w:eastAsia="Calibri"/>
                <w:u w:val="single"/>
              </w:rPr>
              <w:t>279</w:t>
            </w:r>
            <w:r w:rsidRPr="00D806E8">
              <w:rPr>
                <w:rFonts w:eastAsia="Calibri"/>
                <w:u w:val="single"/>
              </w:rPr>
              <w:t>/2</w:t>
            </w:r>
            <w:r w:rsidR="006F7FAF">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233F99">
      <w:pPr>
        <w:tabs>
          <w:tab w:val="left" w:pos="9354"/>
        </w:tabs>
        <w:ind w:right="-2" w:firstLine="567"/>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862E90">
        <w:t xml:space="preserve">искового </w:t>
      </w:r>
      <w:r w:rsidR="00431C13" w:rsidRPr="00883259">
        <w:t>заявления</w:t>
      </w:r>
      <w:r w:rsidR="00431C13">
        <w:t xml:space="preserve"> </w:t>
      </w:r>
      <w:r w:rsidR="00D8381A">
        <w:t>общества с ограниченной ответственностью «</w:t>
      </w:r>
      <w:proofErr w:type="spellStart"/>
      <w:r w:rsidR="009E6321">
        <w:t>Экдиза</w:t>
      </w:r>
      <w:proofErr w:type="spellEnd"/>
      <w:r w:rsidR="00D8381A">
        <w:t>» (г</w:t>
      </w:r>
      <w:proofErr w:type="gramStart"/>
      <w:r w:rsidR="00D8381A">
        <w:t>.</w:t>
      </w:r>
      <w:r w:rsidR="009E6321">
        <w:t>Т</w:t>
      </w:r>
      <w:proofErr w:type="gramEnd"/>
      <w:r w:rsidR="009E6321">
        <w:t xml:space="preserve">ирасполь </w:t>
      </w:r>
      <w:proofErr w:type="spellStart"/>
      <w:r w:rsidR="009E6321">
        <w:t>пер.Суклейский</w:t>
      </w:r>
      <w:proofErr w:type="spellEnd"/>
      <w:r w:rsidR="009E6321">
        <w:t>, д.23</w:t>
      </w:r>
      <w:r w:rsidR="00D8381A">
        <w:t xml:space="preserve">) </w:t>
      </w:r>
      <w:r w:rsidR="009E6321">
        <w:t xml:space="preserve">к Государственной службе судебных исполнителей МЮ ПМР (г.Тирасполь ул.25 Октября, д.136) </w:t>
      </w:r>
      <w:r w:rsidR="006568C3">
        <w:t xml:space="preserve">об освобождении имущества от ареста, </w:t>
      </w:r>
      <w:r w:rsidR="009E6321">
        <w:t>третье лиц</w:t>
      </w:r>
      <w:r w:rsidR="006568C3">
        <w:t>о-</w:t>
      </w:r>
      <w:r w:rsidR="009E6321">
        <w:t xml:space="preserve"> Государственн</w:t>
      </w:r>
      <w:r w:rsidR="006568C3">
        <w:t>ая</w:t>
      </w:r>
      <w:r w:rsidR="009E6321">
        <w:t xml:space="preserve"> служб</w:t>
      </w:r>
      <w:r w:rsidR="006568C3">
        <w:t>а</w:t>
      </w:r>
      <w:r w:rsidR="009E6321">
        <w:t xml:space="preserve"> регистрации и нотариата МЮ ПМР (г.Тирасполь ул</w:t>
      </w:r>
      <w:proofErr w:type="gramStart"/>
      <w:r w:rsidR="009E6321">
        <w:t>.М</w:t>
      </w:r>
      <w:proofErr w:type="gramEnd"/>
      <w:r w:rsidR="009E6321">
        <w:t>ира, 5),</w:t>
      </w:r>
    </w:p>
    <w:p w:rsidR="00955C9F" w:rsidRPr="007476ED" w:rsidRDefault="00955C9F" w:rsidP="00233F99">
      <w:pPr>
        <w:tabs>
          <w:tab w:val="left" w:pos="9354"/>
        </w:tabs>
        <w:ind w:right="-2" w:firstLine="567"/>
        <w:jc w:val="both"/>
        <w:rPr>
          <w:color w:val="000000" w:themeColor="text1"/>
        </w:rPr>
      </w:pPr>
    </w:p>
    <w:p w:rsidR="00431C13" w:rsidRDefault="00431C13" w:rsidP="002A12C3">
      <w:pPr>
        <w:tabs>
          <w:tab w:val="right" w:pos="10148"/>
        </w:tabs>
        <w:jc w:val="center"/>
      </w:pPr>
      <w:r w:rsidRPr="00FF7E7C">
        <w:rPr>
          <w:b/>
        </w:rPr>
        <w:t>установил</w:t>
      </w:r>
      <w:r w:rsidRPr="00045342">
        <w:t>:</w:t>
      </w:r>
    </w:p>
    <w:p w:rsidR="00271697" w:rsidRPr="009A6762" w:rsidRDefault="009A6762" w:rsidP="00DD6D99">
      <w:pPr>
        <w:tabs>
          <w:tab w:val="right" w:pos="9498"/>
          <w:tab w:val="right" w:pos="10148"/>
        </w:tabs>
        <w:ind w:firstLine="567"/>
        <w:jc w:val="both"/>
      </w:pPr>
      <w:r>
        <w:t>И</w:t>
      </w:r>
      <w:r w:rsidRPr="009A6762">
        <w:t xml:space="preserve">сковое заявление подано с нарушением </w:t>
      </w:r>
      <w:r>
        <w:t>требований статей 91,93 АПК ПМР.</w:t>
      </w:r>
    </w:p>
    <w:p w:rsidR="00271697" w:rsidRPr="00271697" w:rsidRDefault="0082733A" w:rsidP="00DD6D99">
      <w:pPr>
        <w:ind w:firstLine="567"/>
        <w:jc w:val="both"/>
        <w:rPr>
          <w:color w:val="000000" w:themeColor="text1"/>
        </w:rPr>
      </w:pPr>
      <w:r w:rsidRPr="00DD6D99">
        <w:rPr>
          <w:color w:val="000000" w:themeColor="text1"/>
        </w:rPr>
        <w:t>В</w:t>
      </w:r>
      <w:r w:rsidR="00271697" w:rsidRPr="00DD6D99">
        <w:rPr>
          <w:color w:val="000000" w:themeColor="text1"/>
        </w:rPr>
        <w:t xml:space="preserve"> силу </w:t>
      </w:r>
      <w:proofErr w:type="spellStart"/>
      <w:r w:rsidR="00271697" w:rsidRPr="00DD6D99">
        <w:rPr>
          <w:color w:val="000000" w:themeColor="text1"/>
        </w:rPr>
        <w:t>подп</w:t>
      </w:r>
      <w:proofErr w:type="gramStart"/>
      <w:r w:rsidR="00271697" w:rsidRPr="00DD6D99">
        <w:rPr>
          <w:color w:val="000000" w:themeColor="text1"/>
        </w:rPr>
        <w:t>.г</w:t>
      </w:r>
      <w:proofErr w:type="spellEnd"/>
      <w:proofErr w:type="gramEnd"/>
      <w:r w:rsidR="00271697" w:rsidRPr="00DD6D99">
        <w:rPr>
          <w:color w:val="000000" w:themeColor="text1"/>
        </w:rPr>
        <w:t>) пункта 2 статьи 91 АПК ПМР, в исковом заявлении должны быть указаны требования</w:t>
      </w:r>
      <w:r w:rsidR="00271697" w:rsidRPr="00271697">
        <w:rPr>
          <w:color w:val="000000" w:themeColor="text1"/>
        </w:rPr>
        <w:t xml:space="preserve"> истца к ответчику со ссылкой на законы и иные нормативные правовые акты.</w:t>
      </w:r>
    </w:p>
    <w:p w:rsidR="004C3ED7" w:rsidRDefault="004C3ED7" w:rsidP="00DD6D99">
      <w:pPr>
        <w:ind w:firstLine="567"/>
        <w:jc w:val="both"/>
        <w:rPr>
          <w:color w:val="000000"/>
        </w:rPr>
      </w:pPr>
      <w:r>
        <w:t>В</w:t>
      </w:r>
      <w:r w:rsidRPr="00944552">
        <w:t xml:space="preserve"> соответствии с </w:t>
      </w:r>
      <w:proofErr w:type="spellStart"/>
      <w:r w:rsidRPr="00944552">
        <w:t>п</w:t>
      </w:r>
      <w:r>
        <w:t>одп</w:t>
      </w:r>
      <w:proofErr w:type="gramStart"/>
      <w:r w:rsidRPr="00944552">
        <w:t>.г</w:t>
      </w:r>
      <w:proofErr w:type="spellEnd"/>
      <w:proofErr w:type="gramEnd"/>
      <w:r w:rsidRPr="00944552">
        <w:rPr>
          <w:color w:val="000000"/>
        </w:rPr>
        <w:t xml:space="preserve">) </w:t>
      </w:r>
      <w:r>
        <w:rPr>
          <w:color w:val="000000"/>
        </w:rPr>
        <w:t xml:space="preserve">ч.1 </w:t>
      </w:r>
      <w:r w:rsidRPr="00944552">
        <w:rPr>
          <w:color w:val="000000"/>
        </w:rPr>
        <w:t>ст</w:t>
      </w:r>
      <w:r>
        <w:rPr>
          <w:color w:val="000000"/>
        </w:rPr>
        <w:t xml:space="preserve">атьи </w:t>
      </w:r>
      <w:r w:rsidRPr="00944552">
        <w:rPr>
          <w:color w:val="000000"/>
        </w:rPr>
        <w:t>93 АПК ПМР к заявлению должны быть приложены документы, подтверждающие обстоятельства, на которых основаны требования. Согласно п.2 ст.52 АПК ПМР письменные доказательства представляются в подлиннике или в форме надлежащим образом заверенной копии.</w:t>
      </w:r>
    </w:p>
    <w:p w:rsidR="009A6762" w:rsidRDefault="009A6762" w:rsidP="00DD6D99">
      <w:pPr>
        <w:ind w:firstLine="567"/>
        <w:jc w:val="both"/>
        <w:rPr>
          <w:color w:val="000000" w:themeColor="text1"/>
        </w:rPr>
      </w:pPr>
      <w:r>
        <w:rPr>
          <w:color w:val="000000" w:themeColor="text1"/>
        </w:rPr>
        <w:t>Предъявляя в Арбитражный суд ПМР иск от имени ООО «</w:t>
      </w:r>
      <w:proofErr w:type="spellStart"/>
      <w:r>
        <w:rPr>
          <w:color w:val="000000" w:themeColor="text1"/>
        </w:rPr>
        <w:t>Экдиза</w:t>
      </w:r>
      <w:proofErr w:type="spellEnd"/>
      <w:r>
        <w:rPr>
          <w:color w:val="000000" w:themeColor="text1"/>
        </w:rPr>
        <w:t>», конкурсный управляющий</w:t>
      </w:r>
      <w:r w:rsidR="00955C9F">
        <w:rPr>
          <w:color w:val="000000" w:themeColor="text1"/>
        </w:rPr>
        <w:t>,</w:t>
      </w:r>
      <w:r>
        <w:rPr>
          <w:color w:val="000000" w:themeColor="text1"/>
        </w:rPr>
        <w:t xml:space="preserve"> </w:t>
      </w:r>
      <w:r w:rsidR="006568C3">
        <w:rPr>
          <w:color w:val="000000" w:themeColor="text1"/>
        </w:rPr>
        <w:t xml:space="preserve">в нарушение </w:t>
      </w:r>
      <w:proofErr w:type="spellStart"/>
      <w:r w:rsidR="006568C3" w:rsidRPr="00DD6D99">
        <w:rPr>
          <w:color w:val="000000" w:themeColor="text1"/>
        </w:rPr>
        <w:t>подп</w:t>
      </w:r>
      <w:proofErr w:type="gramStart"/>
      <w:r w:rsidR="006568C3" w:rsidRPr="00DD6D99">
        <w:rPr>
          <w:color w:val="000000" w:themeColor="text1"/>
        </w:rPr>
        <w:t>.г</w:t>
      </w:r>
      <w:proofErr w:type="spellEnd"/>
      <w:proofErr w:type="gramEnd"/>
      <w:r w:rsidR="006568C3" w:rsidRPr="00DD6D99">
        <w:rPr>
          <w:color w:val="000000" w:themeColor="text1"/>
        </w:rPr>
        <w:t>) пункта 2 статьи 91 АПК ПМР</w:t>
      </w:r>
      <w:r w:rsidR="00955C9F">
        <w:rPr>
          <w:color w:val="000000" w:themeColor="text1"/>
        </w:rPr>
        <w:t>,</w:t>
      </w:r>
      <w:r w:rsidR="006568C3">
        <w:rPr>
          <w:color w:val="000000" w:themeColor="text1"/>
        </w:rPr>
        <w:t xml:space="preserve"> </w:t>
      </w:r>
      <w:r>
        <w:rPr>
          <w:color w:val="000000" w:themeColor="text1"/>
        </w:rPr>
        <w:t xml:space="preserve">не указал норму закона, регламентирующую его право предъявлять от имени должника иск об освобождении имущества от ареста. </w:t>
      </w:r>
    </w:p>
    <w:p w:rsidR="00271697" w:rsidRDefault="009A6762" w:rsidP="00DD6D99">
      <w:pPr>
        <w:ind w:firstLine="567"/>
        <w:jc w:val="both"/>
        <w:rPr>
          <w:color w:val="000000" w:themeColor="text1"/>
        </w:rPr>
      </w:pPr>
      <w:r>
        <w:rPr>
          <w:color w:val="000000" w:themeColor="text1"/>
        </w:rPr>
        <w:t>Кроме того, к</w:t>
      </w:r>
      <w:r w:rsidR="0082733A">
        <w:rPr>
          <w:color w:val="000000" w:themeColor="text1"/>
        </w:rPr>
        <w:t xml:space="preserve">ак следует из искового заявления, </w:t>
      </w:r>
      <w:r w:rsidR="00271697">
        <w:rPr>
          <w:color w:val="000000" w:themeColor="text1"/>
        </w:rPr>
        <w:t xml:space="preserve">истец </w:t>
      </w:r>
      <w:r w:rsidR="0082733A">
        <w:rPr>
          <w:color w:val="000000" w:themeColor="text1"/>
        </w:rPr>
        <w:t>ссылается на</w:t>
      </w:r>
      <w:r w:rsidR="00271697" w:rsidRPr="002E6FCA">
        <w:rPr>
          <w:color w:val="000000" w:themeColor="text1"/>
        </w:rPr>
        <w:t xml:space="preserve"> </w:t>
      </w:r>
      <w:proofErr w:type="spellStart"/>
      <w:r w:rsidR="00271697" w:rsidRPr="002E6FCA">
        <w:rPr>
          <w:color w:val="000000" w:themeColor="text1"/>
        </w:rPr>
        <w:t>подп</w:t>
      </w:r>
      <w:proofErr w:type="gramStart"/>
      <w:r w:rsidR="00271697" w:rsidRPr="002E6FCA">
        <w:rPr>
          <w:color w:val="000000" w:themeColor="text1"/>
        </w:rPr>
        <w:t>.з</w:t>
      </w:r>
      <w:proofErr w:type="spellEnd"/>
      <w:proofErr w:type="gramEnd"/>
      <w:r w:rsidR="00271697" w:rsidRPr="002E6FCA">
        <w:rPr>
          <w:color w:val="000000" w:themeColor="text1"/>
        </w:rPr>
        <w:t>) п.1 ст.122 Закона ПМР «О несостоятельности (</w:t>
      </w:r>
      <w:proofErr w:type="spellStart"/>
      <w:r w:rsidR="00271697" w:rsidRPr="002E6FCA">
        <w:rPr>
          <w:color w:val="000000" w:themeColor="text1"/>
        </w:rPr>
        <w:t>банкротсве</w:t>
      </w:r>
      <w:proofErr w:type="spellEnd"/>
      <w:r w:rsidR="00271697" w:rsidRPr="002E6FCA">
        <w:rPr>
          <w:color w:val="000000" w:themeColor="text1"/>
        </w:rPr>
        <w:t>)»</w:t>
      </w:r>
      <w:r w:rsidR="007A378B">
        <w:rPr>
          <w:color w:val="000000" w:themeColor="text1"/>
        </w:rPr>
        <w:t>. С</w:t>
      </w:r>
      <w:r w:rsidR="0082733A">
        <w:rPr>
          <w:color w:val="000000" w:themeColor="text1"/>
        </w:rPr>
        <w:t xml:space="preserve">огласно </w:t>
      </w:r>
      <w:r w:rsidR="007A378B">
        <w:rPr>
          <w:color w:val="000000" w:themeColor="text1"/>
        </w:rPr>
        <w:t>указанной норме,</w:t>
      </w:r>
      <w:r w:rsidR="0082733A">
        <w:rPr>
          <w:color w:val="000000" w:themeColor="text1"/>
        </w:rPr>
        <w:t xml:space="preserve"> </w:t>
      </w:r>
      <w:proofErr w:type="gramStart"/>
      <w:r w:rsidR="00271697" w:rsidRPr="002E6FCA">
        <w:rPr>
          <w:color w:val="000000" w:themeColor="text1"/>
        </w:rPr>
        <w:t>с даты принятия</w:t>
      </w:r>
      <w:proofErr w:type="gramEnd"/>
      <w:r w:rsidR="00271697" w:rsidRPr="002E6FCA">
        <w:rPr>
          <w:color w:val="000000" w:themeColor="text1"/>
        </w:rPr>
        <w:t xml:space="preserve"> арбитражным судом решения о признании должника банкротом и об открытии конкурсного производства</w:t>
      </w:r>
      <w:r>
        <w:rPr>
          <w:color w:val="000000" w:themeColor="text1"/>
        </w:rPr>
        <w:t>,</w:t>
      </w:r>
      <w:r w:rsidR="00271697" w:rsidRPr="002E6FCA">
        <w:rPr>
          <w:color w:val="000000" w:themeColor="text1"/>
        </w:rPr>
        <w:t xml:space="preserve"> снимаются ранее наложенные аресты на имущество должника и иные ограничения распоряжения имуществом должника.</w:t>
      </w:r>
      <w:r>
        <w:rPr>
          <w:color w:val="000000" w:themeColor="text1"/>
        </w:rPr>
        <w:t xml:space="preserve"> </w:t>
      </w:r>
      <w:r w:rsidR="00271697" w:rsidRPr="002E6FCA">
        <w:rPr>
          <w:color w:val="000000" w:themeColor="text1"/>
        </w:rPr>
        <w:t xml:space="preserve">Основанием для снятия ареста на имущество должника является решение суда о признании должника банкротом и об открытии конкурсного производства. </w:t>
      </w:r>
    </w:p>
    <w:p w:rsidR="00944552" w:rsidRDefault="009A6762" w:rsidP="00DD6D99">
      <w:pPr>
        <w:ind w:firstLine="567"/>
        <w:jc w:val="both"/>
        <w:rPr>
          <w:color w:val="000000" w:themeColor="text1"/>
        </w:rPr>
      </w:pPr>
      <w:r>
        <w:rPr>
          <w:color w:val="000000" w:themeColor="text1"/>
        </w:rPr>
        <w:t>Как прямо указано в</w:t>
      </w:r>
      <w:r w:rsidR="00944552">
        <w:rPr>
          <w:color w:val="000000" w:themeColor="text1"/>
        </w:rPr>
        <w:t xml:space="preserve"> приведенной норм</w:t>
      </w:r>
      <w:r>
        <w:rPr>
          <w:color w:val="000000" w:themeColor="text1"/>
        </w:rPr>
        <w:t>е,</w:t>
      </w:r>
      <w:r w:rsidR="00944552">
        <w:rPr>
          <w:color w:val="000000" w:themeColor="text1"/>
        </w:rPr>
        <w:t xml:space="preserve"> основанием </w:t>
      </w:r>
      <w:r w:rsidR="00944552" w:rsidRPr="002E6FCA">
        <w:rPr>
          <w:color w:val="000000" w:themeColor="text1"/>
        </w:rPr>
        <w:t xml:space="preserve">для снятия ареста на имущество должника является решение суда о признании должника банкротом и об открытии конкурсного производства. </w:t>
      </w:r>
      <w:r w:rsidR="00944552">
        <w:rPr>
          <w:color w:val="000000" w:themeColor="text1"/>
        </w:rPr>
        <w:t>Такое р</w:t>
      </w:r>
      <w:r w:rsidR="00944552" w:rsidRPr="002E6FCA">
        <w:rPr>
          <w:color w:val="000000" w:themeColor="text1"/>
        </w:rPr>
        <w:t xml:space="preserve">ешение </w:t>
      </w:r>
      <w:r w:rsidR="00944552">
        <w:rPr>
          <w:color w:val="000000" w:themeColor="text1"/>
        </w:rPr>
        <w:t xml:space="preserve">судом принято, о чем 19.06.2017 г. в государственном реестре произведена соответствующая запись, что следует из приложенной к иску выписки из ЕГРЮЛ на 16.04.2021 г. </w:t>
      </w:r>
    </w:p>
    <w:p w:rsidR="004C3ED7" w:rsidRDefault="004C3ED7" w:rsidP="00DD6D99">
      <w:pPr>
        <w:ind w:firstLine="567"/>
        <w:jc w:val="both"/>
        <w:rPr>
          <w:color w:val="000000"/>
        </w:rPr>
      </w:pPr>
      <w:r>
        <w:rPr>
          <w:color w:val="000000"/>
        </w:rPr>
        <w:t xml:space="preserve">Указывая на то, что Закон ПМР «О государственной регистрации прав на недвижимое имущество и сделок с ним» не позволяет </w:t>
      </w:r>
      <w:proofErr w:type="spellStart"/>
      <w:r>
        <w:rPr>
          <w:color w:val="000000"/>
        </w:rPr>
        <w:t>ГСРиН</w:t>
      </w:r>
      <w:proofErr w:type="spellEnd"/>
      <w:r>
        <w:rPr>
          <w:color w:val="000000"/>
        </w:rPr>
        <w:t xml:space="preserve"> МЮ ПМР освободить имущество от ареста, </w:t>
      </w:r>
      <w:r>
        <w:rPr>
          <w:color w:val="000000"/>
        </w:rPr>
        <w:lastRenderedPageBreak/>
        <w:t xml:space="preserve">истец в нарушение </w:t>
      </w:r>
      <w:proofErr w:type="spellStart"/>
      <w:r w:rsidRPr="00944552">
        <w:t>п</w:t>
      </w:r>
      <w:r>
        <w:t>одп</w:t>
      </w:r>
      <w:proofErr w:type="gramStart"/>
      <w:r w:rsidRPr="00944552">
        <w:t>.г</w:t>
      </w:r>
      <w:proofErr w:type="spellEnd"/>
      <w:proofErr w:type="gramEnd"/>
      <w:r w:rsidRPr="00944552">
        <w:rPr>
          <w:color w:val="000000"/>
        </w:rPr>
        <w:t xml:space="preserve">) </w:t>
      </w:r>
      <w:r>
        <w:rPr>
          <w:color w:val="000000"/>
        </w:rPr>
        <w:t xml:space="preserve">ч.1 </w:t>
      </w:r>
      <w:r w:rsidRPr="00944552">
        <w:rPr>
          <w:color w:val="000000"/>
        </w:rPr>
        <w:t>ст</w:t>
      </w:r>
      <w:r>
        <w:rPr>
          <w:color w:val="000000"/>
        </w:rPr>
        <w:t xml:space="preserve">атьи </w:t>
      </w:r>
      <w:r w:rsidRPr="00944552">
        <w:rPr>
          <w:color w:val="000000"/>
        </w:rPr>
        <w:t xml:space="preserve">93 АПК ПМР </w:t>
      </w:r>
      <w:r>
        <w:rPr>
          <w:color w:val="000000"/>
        </w:rPr>
        <w:t xml:space="preserve">не прилагает никаких доказательств обращения в регистрирующий орган с соответствующим заявлением и получения </w:t>
      </w:r>
      <w:r w:rsidR="00955C9F">
        <w:rPr>
          <w:color w:val="000000"/>
        </w:rPr>
        <w:t xml:space="preserve">им </w:t>
      </w:r>
      <w:r>
        <w:rPr>
          <w:color w:val="000000"/>
        </w:rPr>
        <w:t xml:space="preserve">отказа.  </w:t>
      </w:r>
    </w:p>
    <w:p w:rsidR="004C3ED7" w:rsidRPr="00944552" w:rsidRDefault="004C3ED7" w:rsidP="00DD6D99">
      <w:pPr>
        <w:ind w:firstLine="567"/>
        <w:jc w:val="both"/>
        <w:rPr>
          <w:color w:val="000000"/>
        </w:rPr>
      </w:pPr>
      <w:r>
        <w:rPr>
          <w:color w:val="000000"/>
        </w:rPr>
        <w:t xml:space="preserve">Кроме того, вопреки </w:t>
      </w:r>
      <w:proofErr w:type="spellStart"/>
      <w:r w:rsidRPr="00944552">
        <w:t>п</w:t>
      </w:r>
      <w:r>
        <w:t>одп</w:t>
      </w:r>
      <w:proofErr w:type="gramStart"/>
      <w:r w:rsidRPr="00944552">
        <w:t>.г</w:t>
      </w:r>
      <w:proofErr w:type="spellEnd"/>
      <w:proofErr w:type="gramEnd"/>
      <w:r w:rsidRPr="00944552">
        <w:rPr>
          <w:color w:val="000000"/>
        </w:rPr>
        <w:t xml:space="preserve">) </w:t>
      </w:r>
      <w:r>
        <w:rPr>
          <w:color w:val="000000"/>
        </w:rPr>
        <w:t xml:space="preserve">ч.1 </w:t>
      </w:r>
      <w:r w:rsidRPr="00944552">
        <w:rPr>
          <w:color w:val="000000"/>
        </w:rPr>
        <w:t>ст</w:t>
      </w:r>
      <w:r>
        <w:rPr>
          <w:color w:val="000000"/>
        </w:rPr>
        <w:t xml:space="preserve">атьи </w:t>
      </w:r>
      <w:r w:rsidRPr="00944552">
        <w:rPr>
          <w:color w:val="000000"/>
        </w:rPr>
        <w:t>93 АПК ПМР</w:t>
      </w:r>
      <w:r>
        <w:rPr>
          <w:color w:val="000000"/>
        </w:rPr>
        <w:t>,</w:t>
      </w:r>
      <w:r w:rsidRPr="00944552">
        <w:rPr>
          <w:color w:val="000000"/>
        </w:rPr>
        <w:t xml:space="preserve"> </w:t>
      </w:r>
      <w:r>
        <w:rPr>
          <w:color w:val="000000"/>
        </w:rPr>
        <w:t>истец не прилагает доказательства наличия обременения прав ООО «</w:t>
      </w:r>
      <w:proofErr w:type="spellStart"/>
      <w:r>
        <w:rPr>
          <w:color w:val="000000"/>
        </w:rPr>
        <w:t>Экдиза</w:t>
      </w:r>
      <w:proofErr w:type="spellEnd"/>
      <w:r>
        <w:rPr>
          <w:color w:val="000000"/>
        </w:rPr>
        <w:t xml:space="preserve">» на дату обращения в Арбитражный суд ПМР. К исковому заявлению приложена выписка из ЕГРП на </w:t>
      </w:r>
      <w:r w:rsidR="00955C9F">
        <w:rPr>
          <w:color w:val="000000"/>
        </w:rPr>
        <w:t xml:space="preserve">                        </w:t>
      </w:r>
      <w:r>
        <w:rPr>
          <w:color w:val="000000"/>
        </w:rPr>
        <w:t xml:space="preserve">02.11.2020 г. Указанная в данной выписке информация не может признаваться  действительной и достоверной. </w:t>
      </w:r>
    </w:p>
    <w:p w:rsidR="00271697" w:rsidRDefault="006568C3" w:rsidP="00DD6D99">
      <w:pPr>
        <w:ind w:firstLine="567"/>
        <w:jc w:val="both"/>
        <w:rPr>
          <w:color w:val="000000" w:themeColor="text1"/>
        </w:rPr>
      </w:pPr>
      <w:r>
        <w:rPr>
          <w:color w:val="000000" w:themeColor="text1"/>
        </w:rPr>
        <w:t>Более того, в</w:t>
      </w:r>
      <w:r w:rsidR="00944552">
        <w:rPr>
          <w:color w:val="000000" w:themeColor="text1"/>
        </w:rPr>
        <w:t xml:space="preserve"> нарушение</w:t>
      </w:r>
      <w:r w:rsidR="00271697">
        <w:rPr>
          <w:color w:val="000000" w:themeColor="text1"/>
        </w:rPr>
        <w:t xml:space="preserve"> </w:t>
      </w:r>
      <w:proofErr w:type="spellStart"/>
      <w:r w:rsidR="00944552" w:rsidRPr="00271697">
        <w:rPr>
          <w:color w:val="000000" w:themeColor="text1"/>
        </w:rPr>
        <w:t>подп</w:t>
      </w:r>
      <w:proofErr w:type="gramStart"/>
      <w:r w:rsidR="00944552" w:rsidRPr="00271697">
        <w:rPr>
          <w:color w:val="000000" w:themeColor="text1"/>
        </w:rPr>
        <w:t>.г</w:t>
      </w:r>
      <w:proofErr w:type="spellEnd"/>
      <w:proofErr w:type="gramEnd"/>
      <w:r w:rsidR="00944552" w:rsidRPr="00271697">
        <w:rPr>
          <w:color w:val="000000" w:themeColor="text1"/>
        </w:rPr>
        <w:t>) пункта 2 статьи 91 АПК ПМР</w:t>
      </w:r>
      <w:r w:rsidR="00944552">
        <w:rPr>
          <w:color w:val="000000" w:themeColor="text1"/>
        </w:rPr>
        <w:t xml:space="preserve"> </w:t>
      </w:r>
      <w:r w:rsidR="004C3ED7">
        <w:rPr>
          <w:color w:val="000000" w:themeColor="text1"/>
        </w:rPr>
        <w:t xml:space="preserve">истец </w:t>
      </w:r>
      <w:r w:rsidR="00271697">
        <w:rPr>
          <w:color w:val="000000" w:themeColor="text1"/>
        </w:rPr>
        <w:t>не указывает норму закона, устанавливающую полномочия суда по  принятию решения об о</w:t>
      </w:r>
      <w:r w:rsidR="0082733A">
        <w:rPr>
          <w:color w:val="000000" w:themeColor="text1"/>
        </w:rPr>
        <w:t xml:space="preserve">свобождении имущества от ареста </w:t>
      </w:r>
      <w:r w:rsidR="00F66429">
        <w:rPr>
          <w:color w:val="000000" w:themeColor="text1"/>
        </w:rPr>
        <w:t>при отсутствии спора относительно принадлежности имущества</w:t>
      </w:r>
      <w:r w:rsidR="0082733A">
        <w:rPr>
          <w:color w:val="000000" w:themeColor="text1"/>
        </w:rPr>
        <w:t xml:space="preserve">. </w:t>
      </w:r>
    </w:p>
    <w:p w:rsidR="00431C13" w:rsidRDefault="00431C13" w:rsidP="00DD6D99">
      <w:pPr>
        <w:tabs>
          <w:tab w:val="right" w:pos="9498"/>
          <w:tab w:val="right" w:pos="9639"/>
        </w:tabs>
        <w:ind w:firstLine="567"/>
        <w:jc w:val="both"/>
      </w:pPr>
      <w:r w:rsidRPr="00675DBA">
        <w:rPr>
          <w:color w:val="000000" w:themeColor="text1"/>
        </w:rPr>
        <w:t xml:space="preserve">В силу п.1 ст.96-1 АПК ПМР </w:t>
      </w:r>
      <w:r w:rsidR="00593628" w:rsidRPr="00675DBA">
        <w:rPr>
          <w:color w:val="000000" w:themeColor="text1"/>
        </w:rPr>
        <w:t>А</w:t>
      </w:r>
      <w:r w:rsidRPr="00675DBA">
        <w:rPr>
          <w:color w:val="000000" w:themeColor="text1"/>
        </w:rPr>
        <w:t xml:space="preserve">рбитражный суд, установив при рассмотрении вопроса о принятии  заявления к производству, что оно подано с нарушением требований, установленных статьями 91-93 АПК ПМР, </w:t>
      </w:r>
      <w:r w:rsidR="00E03CE3" w:rsidRPr="00675DBA">
        <w:rPr>
          <w:color w:val="000000" w:themeColor="text1"/>
        </w:rPr>
        <w:t>либо с нарушением иных требований, установленных</w:t>
      </w:r>
      <w:r w:rsidR="00E03CE3">
        <w:t xml:space="preserve"> АПК ПМР к заявлению, </w:t>
      </w:r>
      <w:r>
        <w:t xml:space="preserve">выносит определение об оставлении заявления без движения. </w:t>
      </w:r>
    </w:p>
    <w:p w:rsidR="00233F99" w:rsidRDefault="00233F99" w:rsidP="00DD6D99">
      <w:pPr>
        <w:tabs>
          <w:tab w:val="right" w:pos="9498"/>
        </w:tabs>
        <w:spacing w:line="19" w:lineRule="atLeast"/>
        <w:ind w:right="-1" w:firstLine="567"/>
        <w:jc w:val="both"/>
      </w:pPr>
      <w:r>
        <w:t xml:space="preserve">При таких обстоятельствах, учитывая, что </w:t>
      </w:r>
      <w:r w:rsidR="00D9346E">
        <w:t xml:space="preserve">исковое </w:t>
      </w:r>
      <w:r>
        <w:t xml:space="preserve">заявление подано с нарушением  требований </w:t>
      </w:r>
      <w:proofErr w:type="spellStart"/>
      <w:r w:rsidR="006568C3" w:rsidRPr="00271697">
        <w:rPr>
          <w:color w:val="000000" w:themeColor="text1"/>
        </w:rPr>
        <w:t>подп</w:t>
      </w:r>
      <w:proofErr w:type="gramStart"/>
      <w:r w:rsidR="006568C3" w:rsidRPr="00271697">
        <w:rPr>
          <w:color w:val="000000" w:themeColor="text1"/>
        </w:rPr>
        <w:t>.г</w:t>
      </w:r>
      <w:proofErr w:type="spellEnd"/>
      <w:proofErr w:type="gramEnd"/>
      <w:r w:rsidR="006568C3" w:rsidRPr="00271697">
        <w:rPr>
          <w:color w:val="000000" w:themeColor="text1"/>
        </w:rPr>
        <w:t>) пункта 2 статьи</w:t>
      </w:r>
      <w:r w:rsidR="00070948">
        <w:t xml:space="preserve"> 91,</w:t>
      </w:r>
      <w:r w:rsidR="006568C3" w:rsidRPr="006568C3">
        <w:t xml:space="preserve"> </w:t>
      </w:r>
      <w:proofErr w:type="spellStart"/>
      <w:r w:rsidR="006568C3" w:rsidRPr="00944552">
        <w:t>п</w:t>
      </w:r>
      <w:r w:rsidR="006568C3">
        <w:t>одп</w:t>
      </w:r>
      <w:r w:rsidR="006568C3" w:rsidRPr="00944552">
        <w:t>.г</w:t>
      </w:r>
      <w:proofErr w:type="spellEnd"/>
      <w:r w:rsidR="006568C3" w:rsidRPr="00944552">
        <w:rPr>
          <w:color w:val="000000"/>
        </w:rPr>
        <w:t xml:space="preserve">) </w:t>
      </w:r>
      <w:r w:rsidR="006568C3">
        <w:rPr>
          <w:color w:val="000000"/>
        </w:rPr>
        <w:t xml:space="preserve">ч.1 статьи </w:t>
      </w:r>
      <w:r w:rsidR="00070948">
        <w:t>93</w:t>
      </w:r>
      <w:r w:rsidR="00E03CE3">
        <w:t xml:space="preserve"> </w:t>
      </w:r>
      <w:r w:rsidRPr="007476ED">
        <w:t>АПК ПМР</w:t>
      </w:r>
      <w:r>
        <w:t xml:space="preserve">, оно подлежит оставлению без движения с предоставлением срока для устранения недостатков.   </w:t>
      </w:r>
    </w:p>
    <w:p w:rsidR="00233F99" w:rsidRDefault="00431C13" w:rsidP="00DD6D99">
      <w:pPr>
        <w:tabs>
          <w:tab w:val="right" w:pos="9498"/>
        </w:tabs>
        <w:spacing w:line="19" w:lineRule="atLeast"/>
        <w:ind w:right="-1" w:firstLine="567"/>
        <w:jc w:val="both"/>
      </w:pPr>
      <w:r>
        <w:t>На основании изложенного и руководствуясь ст.</w:t>
      </w:r>
      <w:r w:rsidRPr="00B950BD">
        <w:t>ст.</w:t>
      </w:r>
      <w:r w:rsidR="00070948">
        <w:t>91,</w:t>
      </w:r>
      <w:r>
        <w:t>93, 96-1, 128</w:t>
      </w:r>
      <w:r w:rsidR="00E03CE3">
        <w:t xml:space="preserve"> </w:t>
      </w:r>
      <w:r w:rsidR="00233F99">
        <w:t>Арбитражного процессуального кодекса Приднестровской Молдавской Республики,</w:t>
      </w:r>
    </w:p>
    <w:p w:rsidR="00431C13" w:rsidRDefault="00431C13" w:rsidP="00B26950">
      <w:pPr>
        <w:tabs>
          <w:tab w:val="left" w:pos="9354"/>
          <w:tab w:val="right" w:pos="9498"/>
        </w:tabs>
        <w:ind w:right="-2" w:firstLine="567"/>
        <w:jc w:val="both"/>
      </w:pPr>
    </w:p>
    <w:p w:rsidR="00C4466F" w:rsidRDefault="00C4466F" w:rsidP="00B26950">
      <w:pPr>
        <w:tabs>
          <w:tab w:val="right" w:pos="9498"/>
        </w:tabs>
        <w:ind w:firstLine="567"/>
        <w:jc w:val="center"/>
        <w:rPr>
          <w:b/>
        </w:rPr>
      </w:pPr>
      <w:r>
        <w:rPr>
          <w:b/>
        </w:rPr>
        <w:t xml:space="preserve">О </w:t>
      </w:r>
      <w:proofErr w:type="gramStart"/>
      <w:r>
        <w:rPr>
          <w:b/>
        </w:rPr>
        <w:t>П</w:t>
      </w:r>
      <w:proofErr w:type="gramEnd"/>
      <w:r>
        <w:rPr>
          <w:b/>
        </w:rPr>
        <w:t xml:space="preserve"> Р Е Д Е Л И Л:</w:t>
      </w:r>
    </w:p>
    <w:p w:rsidR="00955C9F" w:rsidRDefault="00955C9F" w:rsidP="00B26950">
      <w:pPr>
        <w:tabs>
          <w:tab w:val="right" w:pos="9498"/>
        </w:tabs>
        <w:ind w:firstLine="567"/>
        <w:jc w:val="center"/>
        <w:rPr>
          <w:b/>
        </w:rPr>
      </w:pPr>
    </w:p>
    <w:p w:rsidR="00C4466F" w:rsidRDefault="00070948" w:rsidP="003D682D">
      <w:pPr>
        <w:tabs>
          <w:tab w:val="left" w:pos="9354"/>
        </w:tabs>
        <w:ind w:right="-2" w:firstLine="567"/>
        <w:jc w:val="both"/>
      </w:pPr>
      <w:r>
        <w:t>Исковое з</w:t>
      </w:r>
      <w:r w:rsidR="00CC06CC" w:rsidRPr="00883259">
        <w:t>аявлени</w:t>
      </w:r>
      <w:r w:rsidR="00536F4B">
        <w:t>е</w:t>
      </w:r>
      <w:r w:rsidR="003D682D">
        <w:t xml:space="preserve"> </w:t>
      </w:r>
      <w:r>
        <w:t>общества с ограниченной ответственностью «</w:t>
      </w:r>
      <w:proofErr w:type="spellStart"/>
      <w:r>
        <w:t>Экдиза</w:t>
      </w:r>
      <w:proofErr w:type="spellEnd"/>
      <w:r>
        <w:t xml:space="preserve">» к Государственной службе судебных исполнителей МЮ ПМР об освобождении имущества от ареста, </w:t>
      </w:r>
      <w:r w:rsidR="00C4466F">
        <w:t xml:space="preserve">оставить без движения. </w:t>
      </w:r>
    </w:p>
    <w:p w:rsidR="00B26950" w:rsidRDefault="00C4466F" w:rsidP="00B26950">
      <w:pPr>
        <w:tabs>
          <w:tab w:val="right" w:pos="9498"/>
        </w:tabs>
        <w:ind w:firstLine="567"/>
        <w:jc w:val="both"/>
      </w:pPr>
      <w:r>
        <w:t xml:space="preserve">Предложить </w:t>
      </w:r>
      <w:r w:rsidR="00070948">
        <w:t xml:space="preserve">истцу </w:t>
      </w:r>
      <w:r>
        <w:t>в срок</w:t>
      </w:r>
      <w:r w:rsidR="00DE1D9F">
        <w:t xml:space="preserve"> </w:t>
      </w:r>
      <w:r w:rsidR="00DE1D9F" w:rsidRPr="00070948">
        <w:rPr>
          <w:b/>
          <w:color w:val="000000" w:themeColor="text1"/>
        </w:rPr>
        <w:t>до</w:t>
      </w:r>
      <w:r w:rsidRPr="00070948">
        <w:rPr>
          <w:b/>
          <w:color w:val="000000" w:themeColor="text1"/>
        </w:rPr>
        <w:t xml:space="preserve"> </w:t>
      </w:r>
      <w:r w:rsidR="00070948" w:rsidRPr="00070948">
        <w:rPr>
          <w:b/>
          <w:color w:val="000000" w:themeColor="text1"/>
        </w:rPr>
        <w:t xml:space="preserve">29 апреля 2021 </w:t>
      </w:r>
      <w:r w:rsidRPr="00070948">
        <w:rPr>
          <w:b/>
          <w:color w:val="000000" w:themeColor="text1"/>
        </w:rPr>
        <w:t>года</w:t>
      </w:r>
      <w:r>
        <w:t xml:space="preserve"> устранить указанные в определении несоответствия заявления требованиям Арбитражного процессуального кодекса ПМР</w:t>
      </w:r>
      <w:r w:rsidR="00B26950">
        <w:t xml:space="preserve">. </w:t>
      </w:r>
    </w:p>
    <w:p w:rsidR="00C4466F" w:rsidRPr="00536F4B" w:rsidRDefault="00C4466F" w:rsidP="00B26950">
      <w:pPr>
        <w:tabs>
          <w:tab w:val="right" w:pos="9498"/>
        </w:tabs>
        <w:ind w:firstLine="567"/>
        <w:jc w:val="both"/>
        <w:rPr>
          <w:b/>
        </w:rPr>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536F4B">
        <w:rPr>
          <w:b/>
        </w:rPr>
        <w:t>1</w:t>
      </w:r>
      <w:r w:rsidR="00070948">
        <w:rPr>
          <w:b/>
        </w:rPr>
        <w:t>5</w:t>
      </w:r>
      <w:r w:rsidR="005E0929">
        <w:rPr>
          <w:b/>
        </w:rPr>
        <w:t>.00</w:t>
      </w:r>
      <w:r w:rsidRPr="00536F4B">
        <w:rPr>
          <w:b/>
        </w:rPr>
        <w:t xml:space="preserve"> часов </w:t>
      </w:r>
      <w:r w:rsidR="00CC06CC" w:rsidRPr="00536F4B">
        <w:rPr>
          <w:b/>
        </w:rPr>
        <w:t xml:space="preserve"> </w:t>
      </w:r>
      <w:r w:rsidR="00070948">
        <w:rPr>
          <w:b/>
        </w:rPr>
        <w:t>29 апреля</w:t>
      </w:r>
      <w:r w:rsidRPr="00536F4B">
        <w:rPr>
          <w:b/>
        </w:rPr>
        <w:t xml:space="preserve"> 202</w:t>
      </w:r>
      <w:r w:rsidR="00CC06CC" w:rsidRPr="00536F4B">
        <w:rPr>
          <w:b/>
        </w:rPr>
        <w:t>1</w:t>
      </w:r>
      <w:r w:rsidRPr="00536F4B">
        <w:rPr>
          <w:b/>
        </w:rPr>
        <w:t xml:space="preserve"> года. </w:t>
      </w:r>
    </w:p>
    <w:p w:rsidR="00C4466F" w:rsidRDefault="00C4466F" w:rsidP="00B26950">
      <w:pPr>
        <w:tabs>
          <w:tab w:val="right" w:pos="9498"/>
        </w:tabs>
        <w:ind w:firstLine="567"/>
        <w:jc w:val="both"/>
      </w:pPr>
      <w:r>
        <w:t xml:space="preserve">Разъяснить  </w:t>
      </w:r>
      <w:r w:rsidR="00070948">
        <w:t>истцу</w:t>
      </w:r>
      <w:r>
        <w:t xml:space="preserve">, что  в  случае, если указанные в определении недостатки  не будут  устранены в установленный судом срок, </w:t>
      </w:r>
      <w:r w:rsidR="00070948">
        <w:t xml:space="preserve">исковое </w:t>
      </w:r>
      <w:r>
        <w:t>заявление и приложенные к нему документы будут возвращены в порядке статьи 97 АПК ПМР.</w:t>
      </w:r>
    </w:p>
    <w:p w:rsidR="00C4466F" w:rsidRDefault="00C4466F" w:rsidP="00B26950">
      <w:pPr>
        <w:tabs>
          <w:tab w:val="right" w:pos="9498"/>
        </w:tabs>
        <w:ind w:firstLine="567"/>
        <w:jc w:val="both"/>
      </w:pPr>
      <w:r>
        <w:t xml:space="preserve">Определение не обжалуется. </w:t>
      </w:r>
    </w:p>
    <w:p w:rsidR="002A12C3" w:rsidRDefault="002A12C3" w:rsidP="00B26950">
      <w:pPr>
        <w:tabs>
          <w:tab w:val="right" w:pos="9498"/>
        </w:tabs>
        <w:ind w:firstLine="567"/>
        <w:jc w:val="both"/>
      </w:pPr>
    </w:p>
    <w:p w:rsidR="00C4466F" w:rsidRDefault="00C4466F" w:rsidP="00C4466F">
      <w:pPr>
        <w:ind w:left="709"/>
        <w:jc w:val="both"/>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111821" w:rsidRDefault="00111821" w:rsidP="00C4466F">
      <w:pPr>
        <w:ind w:right="-144"/>
        <w:jc w:val="both"/>
      </w:pPr>
    </w:p>
    <w:p w:rsidR="00111821" w:rsidRPr="00270F82" w:rsidRDefault="00111821" w:rsidP="00111821">
      <w:pPr>
        <w:pStyle w:val="aa"/>
        <w:jc w:val="both"/>
        <w:rPr>
          <w:rFonts w:ascii="Times New Roman" w:hAnsi="Times New Roman"/>
          <w:color w:val="FF0000"/>
          <w:sz w:val="28"/>
          <w:szCs w:val="28"/>
        </w:rPr>
      </w:pPr>
    </w:p>
    <w:p w:rsidR="00111821" w:rsidRDefault="00111821" w:rsidP="00111821">
      <w:pPr>
        <w:pStyle w:val="aa"/>
        <w:ind w:firstLine="720"/>
        <w:jc w:val="both"/>
        <w:rPr>
          <w:rFonts w:ascii="Times New Roman" w:hAnsi="Times New Roman"/>
          <w:spacing w:val="-8"/>
          <w:sz w:val="28"/>
          <w:szCs w:val="28"/>
        </w:rPr>
      </w:pPr>
    </w:p>
    <w:p w:rsidR="0082733A" w:rsidRDefault="0082733A" w:rsidP="00111821">
      <w:pPr>
        <w:pStyle w:val="aa"/>
        <w:ind w:firstLine="720"/>
        <w:jc w:val="both"/>
        <w:rPr>
          <w:rFonts w:ascii="Times New Roman" w:hAnsi="Times New Roman"/>
          <w:spacing w:val="-8"/>
          <w:sz w:val="28"/>
          <w:szCs w:val="28"/>
        </w:rPr>
      </w:pPr>
    </w:p>
    <w:p w:rsidR="00955C9F" w:rsidRDefault="00955C9F" w:rsidP="00111821">
      <w:pPr>
        <w:pStyle w:val="aa"/>
        <w:ind w:firstLine="720"/>
        <w:jc w:val="both"/>
        <w:rPr>
          <w:rFonts w:ascii="Times New Roman" w:hAnsi="Times New Roman"/>
          <w:spacing w:val="-8"/>
          <w:sz w:val="28"/>
          <w:szCs w:val="28"/>
        </w:rPr>
      </w:pPr>
    </w:p>
    <w:p w:rsidR="00955C9F" w:rsidRDefault="00955C9F" w:rsidP="00111821">
      <w:pPr>
        <w:pStyle w:val="aa"/>
        <w:ind w:firstLine="720"/>
        <w:jc w:val="both"/>
        <w:rPr>
          <w:rFonts w:ascii="Times New Roman" w:hAnsi="Times New Roman"/>
          <w:spacing w:val="-8"/>
          <w:sz w:val="28"/>
          <w:szCs w:val="28"/>
        </w:rPr>
      </w:pPr>
    </w:p>
    <w:p w:rsidR="00955C9F" w:rsidRDefault="00955C9F" w:rsidP="00111821">
      <w:pPr>
        <w:pStyle w:val="aa"/>
        <w:ind w:firstLine="720"/>
        <w:jc w:val="both"/>
        <w:rPr>
          <w:rFonts w:ascii="Times New Roman" w:hAnsi="Times New Roman"/>
          <w:spacing w:val="-8"/>
          <w:sz w:val="28"/>
          <w:szCs w:val="28"/>
        </w:rPr>
      </w:pPr>
    </w:p>
    <w:p w:rsidR="00955C9F" w:rsidRDefault="00955C9F" w:rsidP="00111821">
      <w:pPr>
        <w:pStyle w:val="aa"/>
        <w:ind w:firstLine="720"/>
        <w:jc w:val="both"/>
        <w:rPr>
          <w:rFonts w:ascii="Times New Roman" w:hAnsi="Times New Roman"/>
          <w:spacing w:val="-8"/>
          <w:sz w:val="28"/>
          <w:szCs w:val="28"/>
        </w:rPr>
      </w:pPr>
    </w:p>
    <w:p w:rsidR="00955C9F" w:rsidRDefault="00955C9F" w:rsidP="00111821">
      <w:pPr>
        <w:pStyle w:val="aa"/>
        <w:ind w:firstLine="720"/>
        <w:jc w:val="both"/>
        <w:rPr>
          <w:rFonts w:ascii="Times New Roman" w:hAnsi="Times New Roman"/>
          <w:spacing w:val="-8"/>
          <w:sz w:val="28"/>
          <w:szCs w:val="28"/>
        </w:rPr>
      </w:pPr>
    </w:p>
    <w:sectPr w:rsidR="00955C9F" w:rsidSect="00F866EC">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B4F" w:rsidRDefault="000C5B4F" w:rsidP="00747910">
      <w:r>
        <w:separator/>
      </w:r>
    </w:p>
  </w:endnote>
  <w:endnote w:type="continuationSeparator" w:id="1">
    <w:p w:rsidR="000C5B4F" w:rsidRDefault="000C5B4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554522">
    <w:pPr>
      <w:pStyle w:val="a7"/>
      <w:jc w:val="right"/>
    </w:pPr>
    <w:fldSimple w:instr=" PAGE   \* MERGEFORMAT ">
      <w:r w:rsidR="0035236B">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B4F" w:rsidRDefault="000C5B4F" w:rsidP="00747910">
      <w:r>
        <w:separator/>
      </w:r>
    </w:p>
  </w:footnote>
  <w:footnote w:type="continuationSeparator" w:id="1">
    <w:p w:rsidR="000C5B4F" w:rsidRDefault="000C5B4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31CA5"/>
    <w:multiLevelType w:val="hybridMultilevel"/>
    <w:tmpl w:val="6FC664E4"/>
    <w:lvl w:ilvl="0" w:tplc="9F8E90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FA79B9"/>
    <w:multiLevelType w:val="hybridMultilevel"/>
    <w:tmpl w:val="E0629BF6"/>
    <w:lvl w:ilvl="0" w:tplc="E384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37C8F"/>
    <w:rsid w:val="000400F3"/>
    <w:rsid w:val="000551EE"/>
    <w:rsid w:val="00063CFC"/>
    <w:rsid w:val="00070948"/>
    <w:rsid w:val="00071AAA"/>
    <w:rsid w:val="00073537"/>
    <w:rsid w:val="00074907"/>
    <w:rsid w:val="00075E53"/>
    <w:rsid w:val="00081B5A"/>
    <w:rsid w:val="00083F1E"/>
    <w:rsid w:val="00090138"/>
    <w:rsid w:val="00096439"/>
    <w:rsid w:val="000A546F"/>
    <w:rsid w:val="000A5F1A"/>
    <w:rsid w:val="000A64D9"/>
    <w:rsid w:val="000C299C"/>
    <w:rsid w:val="000C4195"/>
    <w:rsid w:val="000C506F"/>
    <w:rsid w:val="000C512D"/>
    <w:rsid w:val="000C543C"/>
    <w:rsid w:val="000C5B4F"/>
    <w:rsid w:val="000C64A5"/>
    <w:rsid w:val="000C6F79"/>
    <w:rsid w:val="000C74AD"/>
    <w:rsid w:val="000D4216"/>
    <w:rsid w:val="000E2672"/>
    <w:rsid w:val="000E2924"/>
    <w:rsid w:val="000E5906"/>
    <w:rsid w:val="000F7024"/>
    <w:rsid w:val="001025FB"/>
    <w:rsid w:val="00102C6F"/>
    <w:rsid w:val="00110342"/>
    <w:rsid w:val="00111821"/>
    <w:rsid w:val="001133E7"/>
    <w:rsid w:val="00113E7E"/>
    <w:rsid w:val="001169F6"/>
    <w:rsid w:val="00120C5E"/>
    <w:rsid w:val="00127071"/>
    <w:rsid w:val="0013095E"/>
    <w:rsid w:val="001312D9"/>
    <w:rsid w:val="0015530D"/>
    <w:rsid w:val="001561C1"/>
    <w:rsid w:val="00161B39"/>
    <w:rsid w:val="001620CC"/>
    <w:rsid w:val="001625CD"/>
    <w:rsid w:val="00170249"/>
    <w:rsid w:val="00171FAF"/>
    <w:rsid w:val="00173393"/>
    <w:rsid w:val="001823B7"/>
    <w:rsid w:val="001850FC"/>
    <w:rsid w:val="001850FE"/>
    <w:rsid w:val="00194E0C"/>
    <w:rsid w:val="00195793"/>
    <w:rsid w:val="0019640D"/>
    <w:rsid w:val="001A1A6F"/>
    <w:rsid w:val="001A1E6B"/>
    <w:rsid w:val="001A48C1"/>
    <w:rsid w:val="001C1B4F"/>
    <w:rsid w:val="001E218C"/>
    <w:rsid w:val="001E4157"/>
    <w:rsid w:val="001F33A4"/>
    <w:rsid w:val="001F3C5C"/>
    <w:rsid w:val="00212E13"/>
    <w:rsid w:val="00217B40"/>
    <w:rsid w:val="00221F89"/>
    <w:rsid w:val="00226240"/>
    <w:rsid w:val="00232BFB"/>
    <w:rsid w:val="00233F99"/>
    <w:rsid w:val="002431E5"/>
    <w:rsid w:val="00246032"/>
    <w:rsid w:val="00246584"/>
    <w:rsid w:val="0025700C"/>
    <w:rsid w:val="0026059C"/>
    <w:rsid w:val="00267881"/>
    <w:rsid w:val="00271697"/>
    <w:rsid w:val="00273A5F"/>
    <w:rsid w:val="0027477A"/>
    <w:rsid w:val="002808B8"/>
    <w:rsid w:val="0028313C"/>
    <w:rsid w:val="00286C88"/>
    <w:rsid w:val="002935E2"/>
    <w:rsid w:val="00295DA5"/>
    <w:rsid w:val="002A12C3"/>
    <w:rsid w:val="002A6602"/>
    <w:rsid w:val="002B05B4"/>
    <w:rsid w:val="002B36F7"/>
    <w:rsid w:val="002D25D2"/>
    <w:rsid w:val="002D2926"/>
    <w:rsid w:val="002E6FCA"/>
    <w:rsid w:val="0030000E"/>
    <w:rsid w:val="00301DBA"/>
    <w:rsid w:val="00315E63"/>
    <w:rsid w:val="00316542"/>
    <w:rsid w:val="00336A58"/>
    <w:rsid w:val="0033702F"/>
    <w:rsid w:val="00341741"/>
    <w:rsid w:val="00342C14"/>
    <w:rsid w:val="00343C3F"/>
    <w:rsid w:val="0034783C"/>
    <w:rsid w:val="0035236B"/>
    <w:rsid w:val="00357656"/>
    <w:rsid w:val="00365A17"/>
    <w:rsid w:val="00366460"/>
    <w:rsid w:val="00376A7E"/>
    <w:rsid w:val="00377675"/>
    <w:rsid w:val="00381CF3"/>
    <w:rsid w:val="003935B6"/>
    <w:rsid w:val="00394879"/>
    <w:rsid w:val="003A617A"/>
    <w:rsid w:val="003B6EAA"/>
    <w:rsid w:val="003D682D"/>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3ED7"/>
    <w:rsid w:val="004C56EA"/>
    <w:rsid w:val="004C701C"/>
    <w:rsid w:val="004D052C"/>
    <w:rsid w:val="004D38A6"/>
    <w:rsid w:val="004D6013"/>
    <w:rsid w:val="004F2FAE"/>
    <w:rsid w:val="004F7B6D"/>
    <w:rsid w:val="00503FA0"/>
    <w:rsid w:val="0051667D"/>
    <w:rsid w:val="00516DB6"/>
    <w:rsid w:val="00526E29"/>
    <w:rsid w:val="00527E4B"/>
    <w:rsid w:val="0053648F"/>
    <w:rsid w:val="00536F4B"/>
    <w:rsid w:val="005450C7"/>
    <w:rsid w:val="00554522"/>
    <w:rsid w:val="00571459"/>
    <w:rsid w:val="0057381C"/>
    <w:rsid w:val="00576ABA"/>
    <w:rsid w:val="00586CE9"/>
    <w:rsid w:val="00592802"/>
    <w:rsid w:val="00593628"/>
    <w:rsid w:val="005943EE"/>
    <w:rsid w:val="00596E6A"/>
    <w:rsid w:val="00597E7F"/>
    <w:rsid w:val="005A6736"/>
    <w:rsid w:val="005A7552"/>
    <w:rsid w:val="005B5914"/>
    <w:rsid w:val="005C4BD0"/>
    <w:rsid w:val="005E0929"/>
    <w:rsid w:val="005E3BA1"/>
    <w:rsid w:val="005F7ABA"/>
    <w:rsid w:val="00611A1F"/>
    <w:rsid w:val="00622DFF"/>
    <w:rsid w:val="00624A85"/>
    <w:rsid w:val="006251BA"/>
    <w:rsid w:val="00625EB9"/>
    <w:rsid w:val="00627EC2"/>
    <w:rsid w:val="0063082F"/>
    <w:rsid w:val="00637C39"/>
    <w:rsid w:val="00637EFE"/>
    <w:rsid w:val="00654412"/>
    <w:rsid w:val="006568C3"/>
    <w:rsid w:val="006573F5"/>
    <w:rsid w:val="006610C5"/>
    <w:rsid w:val="00663824"/>
    <w:rsid w:val="00665BF7"/>
    <w:rsid w:val="00675DBA"/>
    <w:rsid w:val="00694E57"/>
    <w:rsid w:val="006A1478"/>
    <w:rsid w:val="006B32AD"/>
    <w:rsid w:val="006B6D28"/>
    <w:rsid w:val="006C6D2B"/>
    <w:rsid w:val="006D3846"/>
    <w:rsid w:val="006D4ABD"/>
    <w:rsid w:val="006D5BB2"/>
    <w:rsid w:val="006E570D"/>
    <w:rsid w:val="006E5DE1"/>
    <w:rsid w:val="006F7FAF"/>
    <w:rsid w:val="0070107B"/>
    <w:rsid w:val="00707DB2"/>
    <w:rsid w:val="00710036"/>
    <w:rsid w:val="00717526"/>
    <w:rsid w:val="00717C09"/>
    <w:rsid w:val="00723729"/>
    <w:rsid w:val="0073500C"/>
    <w:rsid w:val="00735184"/>
    <w:rsid w:val="00737679"/>
    <w:rsid w:val="00743537"/>
    <w:rsid w:val="00746092"/>
    <w:rsid w:val="007476ED"/>
    <w:rsid w:val="00747910"/>
    <w:rsid w:val="0075091C"/>
    <w:rsid w:val="00752610"/>
    <w:rsid w:val="00755A80"/>
    <w:rsid w:val="00762F59"/>
    <w:rsid w:val="00765A2A"/>
    <w:rsid w:val="00783D23"/>
    <w:rsid w:val="00784095"/>
    <w:rsid w:val="00785444"/>
    <w:rsid w:val="007879B9"/>
    <w:rsid w:val="00795413"/>
    <w:rsid w:val="007A27CC"/>
    <w:rsid w:val="007A378B"/>
    <w:rsid w:val="007A4106"/>
    <w:rsid w:val="007A51C3"/>
    <w:rsid w:val="007B5515"/>
    <w:rsid w:val="007B629B"/>
    <w:rsid w:val="007B77C8"/>
    <w:rsid w:val="007C02B3"/>
    <w:rsid w:val="007C4A02"/>
    <w:rsid w:val="007C6DD9"/>
    <w:rsid w:val="007D5BEC"/>
    <w:rsid w:val="007E477A"/>
    <w:rsid w:val="007F277D"/>
    <w:rsid w:val="00804721"/>
    <w:rsid w:val="008105F1"/>
    <w:rsid w:val="0081330C"/>
    <w:rsid w:val="00813A13"/>
    <w:rsid w:val="00815288"/>
    <w:rsid w:val="00816551"/>
    <w:rsid w:val="00825503"/>
    <w:rsid w:val="0082733A"/>
    <w:rsid w:val="008273B9"/>
    <w:rsid w:val="00827EC9"/>
    <w:rsid w:val="00831F68"/>
    <w:rsid w:val="00833454"/>
    <w:rsid w:val="00841625"/>
    <w:rsid w:val="00846D15"/>
    <w:rsid w:val="008505C3"/>
    <w:rsid w:val="00856119"/>
    <w:rsid w:val="00861ECF"/>
    <w:rsid w:val="00862B73"/>
    <w:rsid w:val="00862E90"/>
    <w:rsid w:val="00873966"/>
    <w:rsid w:val="008956F3"/>
    <w:rsid w:val="00895F84"/>
    <w:rsid w:val="008A11D6"/>
    <w:rsid w:val="008B1463"/>
    <w:rsid w:val="008B2D74"/>
    <w:rsid w:val="008B2FB0"/>
    <w:rsid w:val="008B6043"/>
    <w:rsid w:val="008C705C"/>
    <w:rsid w:val="008D06CA"/>
    <w:rsid w:val="008D3161"/>
    <w:rsid w:val="008D6861"/>
    <w:rsid w:val="008D7284"/>
    <w:rsid w:val="008E39E2"/>
    <w:rsid w:val="008E3EE1"/>
    <w:rsid w:val="008E528C"/>
    <w:rsid w:val="008F2A5A"/>
    <w:rsid w:val="008F4BE4"/>
    <w:rsid w:val="00900716"/>
    <w:rsid w:val="00902155"/>
    <w:rsid w:val="00904994"/>
    <w:rsid w:val="00905764"/>
    <w:rsid w:val="00911796"/>
    <w:rsid w:val="00912D4F"/>
    <w:rsid w:val="00917458"/>
    <w:rsid w:val="00926900"/>
    <w:rsid w:val="009415C3"/>
    <w:rsid w:val="00944552"/>
    <w:rsid w:val="00947006"/>
    <w:rsid w:val="00955C9F"/>
    <w:rsid w:val="009649A9"/>
    <w:rsid w:val="0097727F"/>
    <w:rsid w:val="00980688"/>
    <w:rsid w:val="0098334B"/>
    <w:rsid w:val="00985AD2"/>
    <w:rsid w:val="00992900"/>
    <w:rsid w:val="00995992"/>
    <w:rsid w:val="00997222"/>
    <w:rsid w:val="009977D8"/>
    <w:rsid w:val="009A5C32"/>
    <w:rsid w:val="009A6762"/>
    <w:rsid w:val="009B4739"/>
    <w:rsid w:val="009C1B09"/>
    <w:rsid w:val="009C4E55"/>
    <w:rsid w:val="009C73EB"/>
    <w:rsid w:val="009D74B8"/>
    <w:rsid w:val="009E6321"/>
    <w:rsid w:val="009E736F"/>
    <w:rsid w:val="00A032B6"/>
    <w:rsid w:val="00A05DC6"/>
    <w:rsid w:val="00A13A68"/>
    <w:rsid w:val="00A24316"/>
    <w:rsid w:val="00A24D18"/>
    <w:rsid w:val="00A26FAD"/>
    <w:rsid w:val="00A31FA6"/>
    <w:rsid w:val="00A374C4"/>
    <w:rsid w:val="00A40EA5"/>
    <w:rsid w:val="00A42F10"/>
    <w:rsid w:val="00A47391"/>
    <w:rsid w:val="00A61366"/>
    <w:rsid w:val="00A654E1"/>
    <w:rsid w:val="00A66C33"/>
    <w:rsid w:val="00A702FC"/>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14AFE"/>
    <w:rsid w:val="00B25B14"/>
    <w:rsid w:val="00B26950"/>
    <w:rsid w:val="00B368B6"/>
    <w:rsid w:val="00B40322"/>
    <w:rsid w:val="00B558B7"/>
    <w:rsid w:val="00B61760"/>
    <w:rsid w:val="00B650E0"/>
    <w:rsid w:val="00B703BA"/>
    <w:rsid w:val="00B758CC"/>
    <w:rsid w:val="00B86774"/>
    <w:rsid w:val="00B96F15"/>
    <w:rsid w:val="00BC026F"/>
    <w:rsid w:val="00BD1FF5"/>
    <w:rsid w:val="00BE7BA6"/>
    <w:rsid w:val="00C157C4"/>
    <w:rsid w:val="00C33A54"/>
    <w:rsid w:val="00C34D91"/>
    <w:rsid w:val="00C3734A"/>
    <w:rsid w:val="00C43442"/>
    <w:rsid w:val="00C4465F"/>
    <w:rsid w:val="00C4466F"/>
    <w:rsid w:val="00C45BAF"/>
    <w:rsid w:val="00C50970"/>
    <w:rsid w:val="00C60B6F"/>
    <w:rsid w:val="00C639B6"/>
    <w:rsid w:val="00C64CD4"/>
    <w:rsid w:val="00C66FDC"/>
    <w:rsid w:val="00C70C75"/>
    <w:rsid w:val="00C77370"/>
    <w:rsid w:val="00C77E97"/>
    <w:rsid w:val="00C85B3B"/>
    <w:rsid w:val="00C8689F"/>
    <w:rsid w:val="00CA00B0"/>
    <w:rsid w:val="00CA1791"/>
    <w:rsid w:val="00CA186D"/>
    <w:rsid w:val="00CB35DF"/>
    <w:rsid w:val="00CB75CD"/>
    <w:rsid w:val="00CC06CC"/>
    <w:rsid w:val="00CC1D18"/>
    <w:rsid w:val="00CD0B51"/>
    <w:rsid w:val="00CD0F5C"/>
    <w:rsid w:val="00CD29D7"/>
    <w:rsid w:val="00CD7604"/>
    <w:rsid w:val="00CF0F1A"/>
    <w:rsid w:val="00D076AB"/>
    <w:rsid w:val="00D30E82"/>
    <w:rsid w:val="00D33BB9"/>
    <w:rsid w:val="00D3592B"/>
    <w:rsid w:val="00D444A2"/>
    <w:rsid w:val="00D54A1E"/>
    <w:rsid w:val="00D6214D"/>
    <w:rsid w:val="00D668F4"/>
    <w:rsid w:val="00D806E8"/>
    <w:rsid w:val="00D813D9"/>
    <w:rsid w:val="00D8381A"/>
    <w:rsid w:val="00D92379"/>
    <w:rsid w:val="00D9346E"/>
    <w:rsid w:val="00D96E34"/>
    <w:rsid w:val="00D974C2"/>
    <w:rsid w:val="00D97DC4"/>
    <w:rsid w:val="00DA143C"/>
    <w:rsid w:val="00DA4BE7"/>
    <w:rsid w:val="00DA4F00"/>
    <w:rsid w:val="00DC0418"/>
    <w:rsid w:val="00DC1560"/>
    <w:rsid w:val="00DC35B8"/>
    <w:rsid w:val="00DC4651"/>
    <w:rsid w:val="00DD1FD1"/>
    <w:rsid w:val="00DD55BA"/>
    <w:rsid w:val="00DD6D99"/>
    <w:rsid w:val="00DE0848"/>
    <w:rsid w:val="00DE1D9F"/>
    <w:rsid w:val="00DE5F7C"/>
    <w:rsid w:val="00DE63A6"/>
    <w:rsid w:val="00E03CE3"/>
    <w:rsid w:val="00E044DC"/>
    <w:rsid w:val="00E04D74"/>
    <w:rsid w:val="00E06248"/>
    <w:rsid w:val="00E22481"/>
    <w:rsid w:val="00E22852"/>
    <w:rsid w:val="00E2297D"/>
    <w:rsid w:val="00E23D17"/>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4601"/>
    <w:rsid w:val="00EA7563"/>
    <w:rsid w:val="00EB5ED7"/>
    <w:rsid w:val="00EB79CC"/>
    <w:rsid w:val="00EC7395"/>
    <w:rsid w:val="00ED38D5"/>
    <w:rsid w:val="00ED447A"/>
    <w:rsid w:val="00ED67B4"/>
    <w:rsid w:val="00EE2D17"/>
    <w:rsid w:val="00EE52E8"/>
    <w:rsid w:val="00F048E0"/>
    <w:rsid w:val="00F150D5"/>
    <w:rsid w:val="00F16008"/>
    <w:rsid w:val="00F205AD"/>
    <w:rsid w:val="00F20700"/>
    <w:rsid w:val="00F253A2"/>
    <w:rsid w:val="00F32992"/>
    <w:rsid w:val="00F4149D"/>
    <w:rsid w:val="00F44AE4"/>
    <w:rsid w:val="00F5735C"/>
    <w:rsid w:val="00F64381"/>
    <w:rsid w:val="00F65EF8"/>
    <w:rsid w:val="00F66429"/>
    <w:rsid w:val="00F71177"/>
    <w:rsid w:val="00F72C4D"/>
    <w:rsid w:val="00F733B0"/>
    <w:rsid w:val="00F73A7E"/>
    <w:rsid w:val="00F84115"/>
    <w:rsid w:val="00F855C0"/>
    <w:rsid w:val="00F866EC"/>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111821"/>
    <w:rPr>
      <w:rFonts w:ascii="Courier New" w:hAnsi="Courier New" w:cs="Courier New"/>
      <w:lang w:val="ru-RU" w:eastAsia="ru-RU" w:bidi="ar-SA"/>
    </w:rPr>
  </w:style>
  <w:style w:type="paragraph" w:styleId="ac">
    <w:name w:val="Normal (Web)"/>
    <w:basedOn w:val="a"/>
    <w:unhideWhenUsed/>
    <w:rsid w:val="00111821"/>
    <w:pPr>
      <w:spacing w:before="100" w:beforeAutospacing="1" w:after="100" w:afterAutospacing="1"/>
      <w:jc w:val="both"/>
    </w:pPr>
    <w:rPr>
      <w:rFonts w:ascii="Lucida Console" w:hAnsi="Lucida Console"/>
      <w:color w:val="000000"/>
      <w:sz w:val="21"/>
      <w:szCs w:val="21"/>
    </w:rPr>
  </w:style>
  <w:style w:type="paragraph" w:styleId="ad">
    <w:name w:val="List Paragraph"/>
    <w:basedOn w:val="a"/>
    <w:uiPriority w:val="34"/>
    <w:qFormat/>
    <w:rsid w:val="008B2D74"/>
    <w:pPr>
      <w:spacing w:after="200" w:line="276" w:lineRule="auto"/>
      <w:ind w:left="720"/>
      <w:contextualSpacing/>
    </w:pPr>
    <w:rPr>
      <w:rFonts w:ascii="Calibri" w:hAnsi="Calibri"/>
      <w:sz w:val="22"/>
      <w:szCs w:val="22"/>
    </w:rPr>
  </w:style>
  <w:style w:type="paragraph" w:styleId="ae">
    <w:name w:val="No Spacing"/>
    <w:uiPriority w:val="1"/>
    <w:qFormat/>
    <w:rsid w:val="00194E0C"/>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675</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52</cp:revision>
  <cp:lastPrinted>2021-04-20T11:07:00Z</cp:lastPrinted>
  <dcterms:created xsi:type="dcterms:W3CDTF">2021-02-01T14:07:00Z</dcterms:created>
  <dcterms:modified xsi:type="dcterms:W3CDTF">2021-04-20T11:12:00Z</dcterms:modified>
</cp:coreProperties>
</file>