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EA6A60"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E90DB1" w:rsidRDefault="00F47F54" w:rsidP="00A032B6">
      <w:pPr>
        <w:ind w:left="-181"/>
        <w:jc w:val="center"/>
        <w:rPr>
          <w:b/>
        </w:rPr>
      </w:pPr>
      <w:r>
        <w:rPr>
          <w:b/>
        </w:rPr>
        <w:t xml:space="preserve">об оставлении </w:t>
      </w:r>
      <w:r w:rsidR="00E53DA3">
        <w:rPr>
          <w:b/>
        </w:rPr>
        <w:t>искового за</w:t>
      </w:r>
      <w:r w:rsidR="00B51609">
        <w:rPr>
          <w:b/>
        </w:rPr>
        <w:t>я</w:t>
      </w:r>
      <w:r w:rsidR="00E53DA3">
        <w:rPr>
          <w:b/>
        </w:rPr>
        <w:t>вл</w:t>
      </w:r>
      <w:r>
        <w:rPr>
          <w:b/>
        </w:rPr>
        <w:t>ения без движения</w:t>
      </w:r>
    </w:p>
    <w:p w:rsidR="00F47F54" w:rsidRDefault="00F47F54"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435D1A" w:rsidP="005E20F2">
            <w:pPr>
              <w:rPr>
                <w:rFonts w:eastAsia="Calibri"/>
                <w:bCs/>
                <w:sz w:val="20"/>
                <w:szCs w:val="20"/>
              </w:rPr>
            </w:pPr>
            <w:r w:rsidRPr="001823B7">
              <w:rPr>
                <w:rFonts w:eastAsia="Calibri"/>
                <w:sz w:val="20"/>
                <w:szCs w:val="20"/>
              </w:rPr>
              <w:t>«</w:t>
            </w:r>
            <w:r w:rsidR="00E53DA3">
              <w:rPr>
                <w:rFonts w:eastAsia="Calibri"/>
                <w:sz w:val="20"/>
                <w:szCs w:val="20"/>
                <w:u w:val="single"/>
              </w:rPr>
              <w:t xml:space="preserve">  </w:t>
            </w:r>
            <w:r w:rsidR="005E20F2">
              <w:rPr>
                <w:rFonts w:eastAsia="Calibri"/>
                <w:sz w:val="20"/>
                <w:szCs w:val="20"/>
                <w:u w:val="single"/>
              </w:rPr>
              <w:t>07</w:t>
            </w:r>
            <w:r w:rsidR="00E53DA3">
              <w:rPr>
                <w:rFonts w:eastAsia="Calibri"/>
                <w:sz w:val="20"/>
                <w:szCs w:val="20"/>
                <w:u w:val="single"/>
              </w:rPr>
              <w:t xml:space="preserve">  </w:t>
            </w:r>
            <w:r w:rsidRPr="001823B7">
              <w:rPr>
                <w:rFonts w:eastAsia="Calibri"/>
                <w:sz w:val="20"/>
                <w:szCs w:val="20"/>
              </w:rPr>
              <w:t>»</w:t>
            </w:r>
            <w:r w:rsidR="00E53DA3">
              <w:rPr>
                <w:rFonts w:eastAsia="Calibri"/>
                <w:sz w:val="20"/>
                <w:szCs w:val="20"/>
                <w:u w:val="single"/>
              </w:rPr>
              <w:t xml:space="preserve">  </w:t>
            </w:r>
            <w:r w:rsidR="005E20F2">
              <w:rPr>
                <w:rFonts w:eastAsia="Calibri"/>
                <w:sz w:val="20"/>
                <w:szCs w:val="20"/>
                <w:u w:val="single"/>
              </w:rPr>
              <w:t xml:space="preserve">апреля </w:t>
            </w:r>
            <w:r w:rsidR="00E6708A">
              <w:rPr>
                <w:rFonts w:eastAsia="Calibri"/>
                <w:sz w:val="20"/>
                <w:szCs w:val="20"/>
                <w:u w:val="single"/>
              </w:rPr>
              <w:t xml:space="preserve"> </w:t>
            </w:r>
            <w:r w:rsidR="00F8350E">
              <w:rPr>
                <w:rFonts w:eastAsia="Calibri"/>
                <w:sz w:val="20"/>
                <w:szCs w:val="20"/>
                <w:u w:val="single"/>
              </w:rPr>
              <w:t xml:space="preserve"> </w:t>
            </w:r>
            <w:r w:rsidR="00E53DA3">
              <w:rPr>
                <w:rFonts w:eastAsia="Calibri"/>
                <w:sz w:val="20"/>
                <w:szCs w:val="20"/>
                <w:u w:val="single"/>
              </w:rPr>
              <w:t xml:space="preserve">   </w:t>
            </w:r>
            <w:r w:rsidRPr="00444EB1">
              <w:rPr>
                <w:rFonts w:eastAsia="Calibri"/>
                <w:bCs/>
                <w:sz w:val="20"/>
                <w:szCs w:val="20"/>
              </w:rPr>
              <w:t xml:space="preserve"> </w:t>
            </w:r>
            <w:r w:rsidRPr="001823B7">
              <w:rPr>
                <w:rFonts w:eastAsia="Calibri"/>
                <w:bCs/>
                <w:sz w:val="20"/>
                <w:szCs w:val="20"/>
              </w:rPr>
              <w:t>20</w:t>
            </w:r>
            <w:r w:rsidR="00E53DA3">
              <w:rPr>
                <w:rFonts w:eastAsia="Calibri"/>
                <w:bCs/>
                <w:sz w:val="20"/>
                <w:szCs w:val="20"/>
                <w:u w:val="single"/>
              </w:rPr>
              <w:t xml:space="preserve">  </w:t>
            </w:r>
            <w:r w:rsidR="00904F1B">
              <w:rPr>
                <w:rFonts w:eastAsia="Calibri"/>
                <w:bCs/>
                <w:sz w:val="20"/>
                <w:szCs w:val="20"/>
                <w:u w:val="single"/>
              </w:rPr>
              <w:t>2</w:t>
            </w:r>
            <w:r w:rsidR="00E6708A">
              <w:rPr>
                <w:rFonts w:eastAsia="Calibri"/>
                <w:bCs/>
                <w:sz w:val="20"/>
                <w:szCs w:val="20"/>
                <w:u w:val="single"/>
              </w:rPr>
              <w:t>1</w:t>
            </w:r>
            <w:r w:rsidR="00E53DA3">
              <w:rPr>
                <w:rFonts w:eastAsia="Calibri"/>
                <w:bCs/>
                <w:sz w:val="20"/>
                <w:szCs w:val="20"/>
                <w:u w:val="single"/>
              </w:rPr>
              <w:t xml:space="preserve">  </w:t>
            </w:r>
            <w:r w:rsidRPr="001823B7">
              <w:rPr>
                <w:rFonts w:eastAsia="Calibri"/>
                <w:bCs/>
                <w:sz w:val="20"/>
                <w:szCs w:val="20"/>
              </w:rPr>
              <w:t>г.</w:t>
            </w:r>
          </w:p>
        </w:tc>
        <w:tc>
          <w:tcPr>
            <w:tcW w:w="4971" w:type="dxa"/>
            <w:gridSpan w:val="3"/>
          </w:tcPr>
          <w:p w:rsidR="00435D1A" w:rsidRPr="001823B7" w:rsidRDefault="00435D1A" w:rsidP="005E20F2">
            <w:pPr>
              <w:rPr>
                <w:rFonts w:eastAsia="Calibri"/>
                <w:b/>
                <w:bCs/>
                <w:sz w:val="20"/>
                <w:szCs w:val="20"/>
              </w:rPr>
            </w:pP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E53DA3">
              <w:rPr>
                <w:rFonts w:eastAsia="Calibri"/>
                <w:sz w:val="20"/>
                <w:szCs w:val="20"/>
                <w:u w:val="single"/>
              </w:rPr>
              <w:t xml:space="preserve"> </w:t>
            </w:r>
            <w:r w:rsidR="005E20F2">
              <w:rPr>
                <w:rFonts w:eastAsia="Calibri"/>
                <w:sz w:val="20"/>
                <w:szCs w:val="20"/>
                <w:u w:val="single"/>
              </w:rPr>
              <w:t>236/2</w:t>
            </w:r>
            <w:r w:rsidR="00E6708A">
              <w:rPr>
                <w:rFonts w:eastAsia="Calibri"/>
                <w:sz w:val="20"/>
                <w:szCs w:val="20"/>
                <w:u w:val="single"/>
              </w:rPr>
              <w:t>1</w:t>
            </w:r>
            <w:r w:rsidR="005C6EE9">
              <w:rPr>
                <w:rFonts w:eastAsia="Calibri"/>
                <w:sz w:val="20"/>
                <w:szCs w:val="20"/>
                <w:u w:val="single"/>
              </w:rPr>
              <w:t>-06</w:t>
            </w:r>
            <w:r w:rsidRPr="001823B7">
              <w:rPr>
                <w:rFonts w:eastAsia="Calibri"/>
                <w:sz w:val="20"/>
                <w:szCs w:val="20"/>
              </w:rPr>
              <w:t>____</w:t>
            </w:r>
            <w:r>
              <w:rPr>
                <w:rFonts w:eastAsia="Calibri"/>
                <w:sz w:val="20"/>
                <w:szCs w:val="20"/>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E377FB" w:rsidRDefault="00717526" w:rsidP="00717526">
      <w:pPr>
        <w:jc w:val="right"/>
        <w:rPr>
          <w:sz w:val="28"/>
          <w:szCs w:val="28"/>
        </w:rPr>
      </w:pPr>
      <w:r>
        <w:rPr>
          <w:sz w:val="28"/>
          <w:szCs w:val="28"/>
        </w:rPr>
        <w:t xml:space="preserve">  </w:t>
      </w:r>
    </w:p>
    <w:p w:rsidR="00BE06B3" w:rsidRPr="00072322" w:rsidRDefault="00BE06B3" w:rsidP="00BE06B3">
      <w:pPr>
        <w:ind w:firstLine="567"/>
        <w:jc w:val="both"/>
      </w:pPr>
      <w:r w:rsidRPr="00072322">
        <w:t xml:space="preserve">Арбитражный суд Приднестровской Молдавской Республики в составе судьи </w:t>
      </w:r>
      <w:r>
        <w:br/>
      </w:r>
      <w:r w:rsidRPr="00072322">
        <w:t>Т.И. Цыганаш, рассмотрев вопрос о принятии к производству</w:t>
      </w:r>
      <w:r>
        <w:t xml:space="preserve"> искового </w:t>
      </w:r>
      <w:r w:rsidRPr="00072322">
        <w:t>заявления</w:t>
      </w:r>
      <w:r>
        <w:t xml:space="preserve"> </w:t>
      </w:r>
      <w:r w:rsidR="005E20F2">
        <w:t xml:space="preserve">Совета народных депутатов села Терновка (Слободзейский район, с. Терновка, ул. Ленина, д. 41) к ПСК им. Котовского (Слободзейский район, с. Терновка, ул. Ленина, д. 41) </w:t>
      </w:r>
      <w:r w:rsidR="00E6708A">
        <w:t xml:space="preserve">о </w:t>
      </w:r>
      <w:r w:rsidR="005E20F2">
        <w:t>признании недействительным договора купли-продажи</w:t>
      </w:r>
      <w:r w:rsidR="00B60749">
        <w:t xml:space="preserve"> и применения двусторонней реституции</w:t>
      </w:r>
      <w:r w:rsidR="008C424F">
        <w:t>,</w:t>
      </w:r>
      <w:r>
        <w:t xml:space="preserve"> изучив приложенные документы</w:t>
      </w:r>
      <w:r w:rsidR="005E20F2">
        <w:t>,</w:t>
      </w:r>
    </w:p>
    <w:p w:rsidR="00BB5A3E" w:rsidRPr="00D81EB5" w:rsidRDefault="00BB5A3E" w:rsidP="00BB5A3E">
      <w:pPr>
        <w:jc w:val="center"/>
        <w:rPr>
          <w:b/>
        </w:rPr>
      </w:pPr>
    </w:p>
    <w:p w:rsidR="00BB5A3E" w:rsidRPr="00D81EB5" w:rsidRDefault="00BB5A3E" w:rsidP="00BB5A3E">
      <w:pPr>
        <w:jc w:val="center"/>
        <w:rPr>
          <w:b/>
        </w:rPr>
      </w:pPr>
      <w:r w:rsidRPr="00D81EB5">
        <w:rPr>
          <w:b/>
        </w:rPr>
        <w:t>У С Т А Н О В И Л:</w:t>
      </w:r>
    </w:p>
    <w:p w:rsidR="00BB5A3E" w:rsidRPr="00D81EB5" w:rsidRDefault="00BB5A3E" w:rsidP="00BB5A3E">
      <w:pPr>
        <w:jc w:val="center"/>
        <w:rPr>
          <w:b/>
        </w:rPr>
      </w:pPr>
    </w:p>
    <w:p w:rsidR="00BE06B3" w:rsidRDefault="00BE06B3" w:rsidP="00BE06B3">
      <w:pPr>
        <w:ind w:firstLine="567"/>
        <w:jc w:val="both"/>
      </w:pPr>
      <w:r w:rsidRPr="00D94C03">
        <w:t>В силу пункта 1 статьи 95 АПК ПМР судья обязан принять к производству арбитражного суда заявление, поданное соблюдением требований, предъявляемых Арбитражным процессуальным</w:t>
      </w:r>
      <w:r w:rsidRPr="001B3BC4">
        <w:t xml:space="preserve"> кодексом к его форме и содержанию. Изучив содержание </w:t>
      </w:r>
      <w:r w:rsidR="00E6708A">
        <w:t xml:space="preserve">искового </w:t>
      </w:r>
      <w:r w:rsidRPr="001B3BC4">
        <w:t>заявления, требования к которому определены статьей 91 АПК ПМР, а также приложенные к нему документы на соответствие статье 93 АПК ПМР, судом установлены следующие несоответствия процессуального закона</w:t>
      </w:r>
      <w:r>
        <w:t>.</w:t>
      </w:r>
    </w:p>
    <w:p w:rsidR="0044117F" w:rsidRDefault="0044117F" w:rsidP="00BE06B3">
      <w:pPr>
        <w:ind w:firstLine="709"/>
        <w:jc w:val="both"/>
      </w:pPr>
      <w:r>
        <w:t>1. Исковое заявление должно содержать наименование истца и ответчика (подпункты б), в) пункта 2 статьи 91 АПК ПМР).  Как следует из искового заявления Совет народных депутатов села Терновка (истец) указал в исковом заявлении в качестве ответчика ПСК им. Котовского.</w:t>
      </w:r>
    </w:p>
    <w:p w:rsidR="0044117F" w:rsidRDefault="0044117F" w:rsidP="00BE06B3">
      <w:pPr>
        <w:ind w:firstLine="709"/>
        <w:jc w:val="both"/>
      </w:pPr>
      <w:r>
        <w:t>Подпунктом г) пункта 2 статьи 91 АПК ПМР определено, что в исковом заявлении должны быть указаны требования истца к ответчику со ссылкой на законы и иные нормативные акты, а при предъявлении иска к нескольким ответчикам – требования к каждому из них.</w:t>
      </w:r>
    </w:p>
    <w:p w:rsidR="0044117F" w:rsidRDefault="0044117F" w:rsidP="00BE06B3">
      <w:pPr>
        <w:ind w:firstLine="709"/>
        <w:jc w:val="both"/>
      </w:pPr>
      <w:r>
        <w:t>Совет народных депутатов села Терновка в иске требует: 1) признать недействительным договор, заключенный  между ПСК им. Котовского и ДООО «Агростиль»; 2) применить последствия недействительности ничтожной сделки</w:t>
      </w:r>
      <w:r w:rsidRPr="0044117F">
        <w:t xml:space="preserve"> </w:t>
      </w:r>
      <w:r>
        <w:t>заключенный  между ПСК им. Котовского и ДООО «Агростиль» посредством двусторонней реституции.</w:t>
      </w:r>
    </w:p>
    <w:p w:rsidR="0044117F" w:rsidRDefault="0044117F" w:rsidP="00BE06B3">
      <w:pPr>
        <w:ind w:firstLine="709"/>
        <w:jc w:val="both"/>
      </w:pPr>
      <w:r>
        <w:t>Таким образом</w:t>
      </w:r>
      <w:r w:rsidR="00D21844">
        <w:t>,</w:t>
      </w:r>
      <w:r>
        <w:t xml:space="preserve"> суд приходит к выводу о том, что истцом не соблюдено требование подпункта </w:t>
      </w:r>
      <w:r w:rsidR="00B60749">
        <w:t>в</w:t>
      </w:r>
      <w:r>
        <w:t>) в корреспонденции с подпунктом г)</w:t>
      </w:r>
      <w:r w:rsidRPr="0044117F">
        <w:t xml:space="preserve"> </w:t>
      </w:r>
      <w:r w:rsidR="00B60749">
        <w:t xml:space="preserve">пункта 2 статьи 91 АПК ПМР. Во-первых, в части указания в качестве ответчика только одного участника договора, заключенного между сторонами: ПСК им. Котовского и ДООО «Агростиль». Во-вторых, </w:t>
      </w:r>
      <w:r w:rsidR="00B60749">
        <w:lastRenderedPageBreak/>
        <w:t xml:space="preserve">из </w:t>
      </w:r>
      <w:r w:rsidR="00BD56EB">
        <w:t xml:space="preserve">второго </w:t>
      </w:r>
      <w:r w:rsidR="00B60749">
        <w:t>пункта требования не следует</w:t>
      </w:r>
      <w:r w:rsidR="00BD56EB">
        <w:t>,</w:t>
      </w:r>
      <w:r w:rsidR="00B60749">
        <w:t xml:space="preserve"> в чем должна выражаться двусторонняя реституция по отношению к каждому из участников заключенного договора.</w:t>
      </w:r>
    </w:p>
    <w:p w:rsidR="00D21844" w:rsidRDefault="00D21844" w:rsidP="00BE06B3">
      <w:pPr>
        <w:ind w:firstLine="709"/>
        <w:jc w:val="both"/>
      </w:pPr>
      <w:r>
        <w:t xml:space="preserve">2. Подпунктом д) </w:t>
      </w:r>
      <w:r w:rsidR="00822BC4">
        <w:t xml:space="preserve">статьи 93 АПК ПМР </w:t>
      </w:r>
      <w:r>
        <w:t xml:space="preserve"> установлено, что к исковому заявлению прилагается </w:t>
      </w:r>
      <w:r w:rsidR="00822BC4">
        <w:t xml:space="preserve">выписка из государственного реестра юридических лиц </w:t>
      </w:r>
      <w:r>
        <w:t>с</w:t>
      </w:r>
      <w:r w:rsidR="00822BC4">
        <w:t xml:space="preserve"> указани</w:t>
      </w:r>
      <w:r w:rsidR="00BD56EB">
        <w:t>ем</w:t>
      </w:r>
      <w:r w:rsidR="00822BC4">
        <w:t xml:space="preserve"> сведений о месте нахождения </w:t>
      </w:r>
      <w:r w:rsidR="00BD56EB">
        <w:t xml:space="preserve">истца и </w:t>
      </w:r>
      <w:r>
        <w:t>ответчика, полученная не позднее 10 дней со дня обращения истца в арбитражный суд.</w:t>
      </w:r>
    </w:p>
    <w:p w:rsidR="00D21844" w:rsidRDefault="00D21844" w:rsidP="00BE06B3">
      <w:pPr>
        <w:ind w:firstLine="709"/>
        <w:jc w:val="both"/>
      </w:pPr>
      <w:r>
        <w:t>В нарушение приведенной процессуальной нормы истцом представлен</w:t>
      </w:r>
      <w:r w:rsidR="00594BB2">
        <w:t>а</w:t>
      </w:r>
      <w:r>
        <w:t xml:space="preserve"> выписка из государственного реестра юридических лиц</w:t>
      </w:r>
      <w:r w:rsidR="00594BB2">
        <w:t xml:space="preserve"> </w:t>
      </w:r>
      <w:r w:rsidR="00BD56EB">
        <w:t xml:space="preserve">в отношении ПСК им. Котовского </w:t>
      </w:r>
      <w:r w:rsidR="00594BB2">
        <w:t xml:space="preserve">по состоянию на 25 апреля 2003 года, утратившая юридическую силу 24 марта 2004 года в связи с внесением изменений. Данная выписка не позволяет суду достоверно установить место нахождения ответчика с учетом  требований Главы 15-1 АПК ПМР в целях надлежащего извещения лиц, участвующих в деле, о начавшемся судебном процессе. </w:t>
      </w:r>
    </w:p>
    <w:p w:rsidR="00BE06B3" w:rsidRDefault="00BE06B3" w:rsidP="00BE06B3">
      <w:pPr>
        <w:ind w:firstLine="720"/>
        <w:jc w:val="both"/>
      </w:pPr>
      <w:r w:rsidRPr="00692354">
        <w:t xml:space="preserve">Частью первой статьи 96-1 АПК ПМР установлено, что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 92 и 93 </w:t>
      </w:r>
      <w:r>
        <w:t>АПК ПМР</w:t>
      </w:r>
      <w:r w:rsidRPr="00692354">
        <w:t xml:space="preserve">, либо с нарушением иных требований, установленных Кодексом, выносит определение об оставлении </w:t>
      </w:r>
      <w:r w:rsidR="00BD56EB">
        <w:t xml:space="preserve">искового </w:t>
      </w:r>
      <w:r w:rsidRPr="00692354">
        <w:t>заявления без движения.</w:t>
      </w:r>
    </w:p>
    <w:p w:rsidR="00BE06B3" w:rsidRPr="00692354" w:rsidRDefault="00BE06B3" w:rsidP="00BE06B3">
      <w:pPr>
        <w:ind w:firstLine="709"/>
        <w:jc w:val="both"/>
      </w:pPr>
      <w:r w:rsidRPr="00692354">
        <w:t>Арбитражный суд Приднестровской Молдавской Республики, руководствуясь статьями 96-1, 128 АПК ПМР,</w:t>
      </w:r>
    </w:p>
    <w:p w:rsidR="00BE06B3" w:rsidRDefault="00BE06B3" w:rsidP="00BE06B3">
      <w:pPr>
        <w:ind w:firstLine="720"/>
        <w:jc w:val="center"/>
        <w:outlineLvl w:val="0"/>
        <w:rPr>
          <w:b/>
        </w:rPr>
      </w:pPr>
      <w:r w:rsidRPr="00692354">
        <w:rPr>
          <w:b/>
        </w:rPr>
        <w:t>О П Р Е Д Е Л И Л:</w:t>
      </w:r>
    </w:p>
    <w:p w:rsidR="00BE06B3" w:rsidRDefault="00BE06B3" w:rsidP="00BE06B3">
      <w:pPr>
        <w:ind w:firstLine="720"/>
        <w:jc w:val="center"/>
        <w:outlineLvl w:val="0"/>
        <w:rPr>
          <w:b/>
        </w:rPr>
      </w:pPr>
    </w:p>
    <w:p w:rsidR="00BE06B3" w:rsidRPr="00692354" w:rsidRDefault="00594BB2" w:rsidP="00BE06B3">
      <w:pPr>
        <w:jc w:val="both"/>
      </w:pPr>
      <w:r>
        <w:t>1</w:t>
      </w:r>
      <w:r w:rsidR="00BE06B3">
        <w:t xml:space="preserve">. </w:t>
      </w:r>
      <w:r w:rsidR="00EB1727">
        <w:t>И</w:t>
      </w:r>
      <w:r w:rsidR="00BE06B3" w:rsidRPr="00692354">
        <w:t xml:space="preserve">сковое заявление </w:t>
      </w:r>
      <w:r>
        <w:t xml:space="preserve">Совета народных депутатов села Терновка </w:t>
      </w:r>
      <w:r w:rsidR="00BE06B3" w:rsidRPr="00692354">
        <w:t>оставить без движения.</w:t>
      </w:r>
    </w:p>
    <w:p w:rsidR="00EB1727" w:rsidRPr="00416A43" w:rsidRDefault="00EB1727" w:rsidP="00EB1727">
      <w:pPr>
        <w:jc w:val="both"/>
      </w:pPr>
      <w:r>
        <w:t xml:space="preserve">2. </w:t>
      </w:r>
      <w:r w:rsidRPr="00692354">
        <w:t>Предложить</w:t>
      </w:r>
      <w:r>
        <w:t xml:space="preserve"> </w:t>
      </w:r>
      <w:r w:rsidRPr="00687CB5">
        <w:rPr>
          <w:b/>
        </w:rPr>
        <w:t xml:space="preserve">в срок до </w:t>
      </w:r>
      <w:r w:rsidR="00594BB2">
        <w:rPr>
          <w:b/>
        </w:rPr>
        <w:t>19 апреля</w:t>
      </w:r>
      <w:r>
        <w:rPr>
          <w:b/>
        </w:rPr>
        <w:t xml:space="preserve"> 2021</w:t>
      </w:r>
      <w:r w:rsidRPr="00826DEA">
        <w:rPr>
          <w:b/>
        </w:rPr>
        <w:t xml:space="preserve"> года включительно</w:t>
      </w:r>
      <w:r w:rsidRPr="00416A43">
        <w:t xml:space="preserve"> устранить допущенные нарушения Арбитражного процессуального кодекса Приднестровской Молдавской Республики</w:t>
      </w:r>
      <w:r>
        <w:t>, обеспечив поступление соответствующего заявления с приложенными документами к установленному сроку в Арбитражный суд</w:t>
      </w:r>
      <w:r w:rsidRPr="00416A43">
        <w:t>.</w:t>
      </w:r>
    </w:p>
    <w:p w:rsidR="00EB1727" w:rsidRDefault="00EB1727" w:rsidP="00EB1727">
      <w:pPr>
        <w:jc w:val="both"/>
      </w:pPr>
      <w:r>
        <w:t xml:space="preserve">3. </w:t>
      </w:r>
      <w:r w:rsidRPr="00416A43">
        <w:t xml:space="preserve">Разъяснить, что в соответствии с частью второй пункта 3 статьи 96-1 АПК ПМР в случае, если обстоятельства, послужившие основанием для оставления </w:t>
      </w:r>
      <w:r w:rsidR="00BD56EB">
        <w:t xml:space="preserve">искового </w:t>
      </w:r>
      <w:r w:rsidRPr="00416A43">
        <w:t xml:space="preserve">заявления без движения, не будут устранены в срок, установленный в настоящем определении, Арбитражный суд возвращает </w:t>
      </w:r>
      <w:r w:rsidR="00BD56EB">
        <w:t xml:space="preserve">исковое </w:t>
      </w:r>
      <w:r w:rsidRPr="00416A43">
        <w:t>заявление и прилагаемые к нему документы в порядке, предусмотренном статьей 97 АПК ПМР.</w:t>
      </w:r>
    </w:p>
    <w:p w:rsidR="00594BB2" w:rsidRDefault="00594BB2" w:rsidP="00BE06B3">
      <w:pPr>
        <w:ind w:left="709"/>
        <w:jc w:val="both"/>
        <w:outlineLvl w:val="0"/>
      </w:pPr>
    </w:p>
    <w:p w:rsidR="00BE06B3" w:rsidRPr="00692354" w:rsidRDefault="00BE06B3" w:rsidP="00BE06B3">
      <w:pPr>
        <w:ind w:left="709"/>
        <w:jc w:val="both"/>
        <w:outlineLvl w:val="0"/>
      </w:pPr>
      <w:r w:rsidRPr="00692354">
        <w:t xml:space="preserve">Определение не обжалуется. </w:t>
      </w:r>
    </w:p>
    <w:p w:rsidR="00BE06B3" w:rsidRPr="00692354" w:rsidRDefault="00BE06B3" w:rsidP="00BE06B3">
      <w:pPr>
        <w:ind w:left="709"/>
        <w:jc w:val="both"/>
      </w:pPr>
    </w:p>
    <w:p w:rsidR="00BE06B3" w:rsidRPr="00692354" w:rsidRDefault="00BE06B3" w:rsidP="00BE06B3">
      <w:pPr>
        <w:jc w:val="both"/>
        <w:outlineLvl w:val="0"/>
        <w:rPr>
          <w:b/>
        </w:rPr>
      </w:pPr>
      <w:r w:rsidRPr="00692354">
        <w:rPr>
          <w:b/>
        </w:rPr>
        <w:t xml:space="preserve">Судья Арбитражного суда </w:t>
      </w:r>
    </w:p>
    <w:p w:rsidR="00BE06B3" w:rsidRPr="00692354" w:rsidRDefault="00BE06B3" w:rsidP="00BE06B3">
      <w:pPr>
        <w:jc w:val="both"/>
        <w:rPr>
          <w:b/>
        </w:rPr>
      </w:pPr>
      <w:r w:rsidRPr="00692354">
        <w:rPr>
          <w:b/>
        </w:rPr>
        <w:t xml:space="preserve">Приднестровской Молдавской Республики                                                 Т. И. Цыганаш </w:t>
      </w:r>
    </w:p>
    <w:p w:rsidR="00BE06B3" w:rsidRPr="00D81EB5" w:rsidRDefault="00BE06B3" w:rsidP="00BE06B3">
      <w:pPr>
        <w:jc w:val="both"/>
      </w:pPr>
    </w:p>
    <w:p w:rsidR="00B458F0" w:rsidRPr="00D81EB5" w:rsidRDefault="00B458F0" w:rsidP="00BE06B3">
      <w:pPr>
        <w:ind w:firstLine="709"/>
        <w:jc w:val="both"/>
      </w:pPr>
    </w:p>
    <w:sectPr w:rsidR="00B458F0" w:rsidRPr="00D81EB5" w:rsidSect="00F57861">
      <w:footerReference w:type="default" r:id="rId9"/>
      <w:pgSz w:w="11906" w:h="16838"/>
      <w:pgMar w:top="1134" w:right="851" w:bottom="1276"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72F" w:rsidRDefault="007C772F" w:rsidP="00747910">
      <w:r>
        <w:separator/>
      </w:r>
    </w:p>
  </w:endnote>
  <w:endnote w:type="continuationSeparator" w:id="1">
    <w:p w:rsidR="007C772F" w:rsidRDefault="007C772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0E" w:rsidRDefault="00F8350E">
    <w:pPr>
      <w:pStyle w:val="a7"/>
      <w:jc w:val="right"/>
    </w:pPr>
    <w:fldSimple w:instr=" PAGE   \* MERGEFORMAT ">
      <w:r w:rsidR="00EA6A60">
        <w:rPr>
          <w:noProof/>
        </w:rPr>
        <w:t>1</w:t>
      </w:r>
    </w:fldSimple>
  </w:p>
  <w:p w:rsidR="00F8350E" w:rsidRDefault="00F835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72F" w:rsidRDefault="007C772F" w:rsidP="00747910">
      <w:r>
        <w:separator/>
      </w:r>
    </w:p>
  </w:footnote>
  <w:footnote w:type="continuationSeparator" w:id="1">
    <w:p w:rsidR="007C772F" w:rsidRDefault="007C772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A538A"/>
    <w:multiLevelType w:val="hybridMultilevel"/>
    <w:tmpl w:val="B1C09D8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0A56"/>
    <w:rsid w:val="000400F3"/>
    <w:rsid w:val="00081B5A"/>
    <w:rsid w:val="000A79D8"/>
    <w:rsid w:val="000C4195"/>
    <w:rsid w:val="000C512D"/>
    <w:rsid w:val="000C64A5"/>
    <w:rsid w:val="000E2672"/>
    <w:rsid w:val="000E4D94"/>
    <w:rsid w:val="000E5906"/>
    <w:rsid w:val="001245F2"/>
    <w:rsid w:val="0015139A"/>
    <w:rsid w:val="001823B7"/>
    <w:rsid w:val="001A48C1"/>
    <w:rsid w:val="001B4361"/>
    <w:rsid w:val="001C1B4F"/>
    <w:rsid w:val="001D2264"/>
    <w:rsid w:val="00212E13"/>
    <w:rsid w:val="002431E5"/>
    <w:rsid w:val="0026059C"/>
    <w:rsid w:val="002935E2"/>
    <w:rsid w:val="002B4E76"/>
    <w:rsid w:val="002D2926"/>
    <w:rsid w:val="00337322"/>
    <w:rsid w:val="00365A17"/>
    <w:rsid w:val="00381CF3"/>
    <w:rsid w:val="003869EF"/>
    <w:rsid w:val="00393596"/>
    <w:rsid w:val="003A617A"/>
    <w:rsid w:val="00424065"/>
    <w:rsid w:val="00426917"/>
    <w:rsid w:val="00435D1A"/>
    <w:rsid w:val="0044117F"/>
    <w:rsid w:val="00444EB1"/>
    <w:rsid w:val="004A01C7"/>
    <w:rsid w:val="004B0F41"/>
    <w:rsid w:val="004B2FE2"/>
    <w:rsid w:val="004C56EA"/>
    <w:rsid w:val="004C701C"/>
    <w:rsid w:val="004F7B6D"/>
    <w:rsid w:val="0050300F"/>
    <w:rsid w:val="0051667D"/>
    <w:rsid w:val="0053598D"/>
    <w:rsid w:val="00594BB2"/>
    <w:rsid w:val="005A6736"/>
    <w:rsid w:val="005C6EE9"/>
    <w:rsid w:val="005E20F2"/>
    <w:rsid w:val="005E529D"/>
    <w:rsid w:val="00690159"/>
    <w:rsid w:val="00694E57"/>
    <w:rsid w:val="006C6D2B"/>
    <w:rsid w:val="006E1879"/>
    <w:rsid w:val="006E570D"/>
    <w:rsid w:val="006F2701"/>
    <w:rsid w:val="006F75F0"/>
    <w:rsid w:val="006F76DD"/>
    <w:rsid w:val="00710036"/>
    <w:rsid w:val="00717526"/>
    <w:rsid w:val="00747910"/>
    <w:rsid w:val="0075091C"/>
    <w:rsid w:val="007A384D"/>
    <w:rsid w:val="007A51C3"/>
    <w:rsid w:val="007C772F"/>
    <w:rsid w:val="007E53DF"/>
    <w:rsid w:val="00813A13"/>
    <w:rsid w:val="00817FC4"/>
    <w:rsid w:val="00822BC4"/>
    <w:rsid w:val="008273B9"/>
    <w:rsid w:val="00833454"/>
    <w:rsid w:val="008A11D6"/>
    <w:rsid w:val="008A53EA"/>
    <w:rsid w:val="008C424F"/>
    <w:rsid w:val="008E3A3F"/>
    <w:rsid w:val="00900716"/>
    <w:rsid w:val="00904994"/>
    <w:rsid w:val="00904F1B"/>
    <w:rsid w:val="00917458"/>
    <w:rsid w:val="00926900"/>
    <w:rsid w:val="009557A3"/>
    <w:rsid w:val="00997222"/>
    <w:rsid w:val="009977D8"/>
    <w:rsid w:val="009D5F5C"/>
    <w:rsid w:val="009E63AD"/>
    <w:rsid w:val="00A032B6"/>
    <w:rsid w:val="00A42F10"/>
    <w:rsid w:val="00A654E1"/>
    <w:rsid w:val="00A76266"/>
    <w:rsid w:val="00AB326C"/>
    <w:rsid w:val="00AC557E"/>
    <w:rsid w:val="00AC6E73"/>
    <w:rsid w:val="00AE51C6"/>
    <w:rsid w:val="00AF591D"/>
    <w:rsid w:val="00B11E85"/>
    <w:rsid w:val="00B16A71"/>
    <w:rsid w:val="00B458F0"/>
    <w:rsid w:val="00B51609"/>
    <w:rsid w:val="00B60749"/>
    <w:rsid w:val="00BA7E2A"/>
    <w:rsid w:val="00BB5A3E"/>
    <w:rsid w:val="00BD56EB"/>
    <w:rsid w:val="00BD6B53"/>
    <w:rsid w:val="00BE06B3"/>
    <w:rsid w:val="00BE5D55"/>
    <w:rsid w:val="00BE7BA6"/>
    <w:rsid w:val="00C3734A"/>
    <w:rsid w:val="00C43442"/>
    <w:rsid w:val="00C53267"/>
    <w:rsid w:val="00C77370"/>
    <w:rsid w:val="00CA1791"/>
    <w:rsid w:val="00CB4E36"/>
    <w:rsid w:val="00CE0E51"/>
    <w:rsid w:val="00CF5476"/>
    <w:rsid w:val="00D21844"/>
    <w:rsid w:val="00D2668D"/>
    <w:rsid w:val="00D510E5"/>
    <w:rsid w:val="00D81EB5"/>
    <w:rsid w:val="00D96E34"/>
    <w:rsid w:val="00E06201"/>
    <w:rsid w:val="00E14EF3"/>
    <w:rsid w:val="00E265BC"/>
    <w:rsid w:val="00E37FF1"/>
    <w:rsid w:val="00E51F48"/>
    <w:rsid w:val="00E53DA3"/>
    <w:rsid w:val="00E57459"/>
    <w:rsid w:val="00E6678D"/>
    <w:rsid w:val="00E6708A"/>
    <w:rsid w:val="00E67E5E"/>
    <w:rsid w:val="00E84C5D"/>
    <w:rsid w:val="00E90DB1"/>
    <w:rsid w:val="00E92C98"/>
    <w:rsid w:val="00E975E9"/>
    <w:rsid w:val="00EA6A60"/>
    <w:rsid w:val="00EB1727"/>
    <w:rsid w:val="00EB1A1A"/>
    <w:rsid w:val="00ED6653"/>
    <w:rsid w:val="00ED67B4"/>
    <w:rsid w:val="00F16008"/>
    <w:rsid w:val="00F253A2"/>
    <w:rsid w:val="00F47F54"/>
    <w:rsid w:val="00F57861"/>
    <w:rsid w:val="00F64381"/>
    <w:rsid w:val="00F72C4D"/>
    <w:rsid w:val="00F8350E"/>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F47F54"/>
    <w:rPr>
      <w:rFonts w:ascii="Tahoma" w:hAnsi="Tahoma" w:cs="Tahoma"/>
      <w:sz w:val="16"/>
      <w:szCs w:val="16"/>
    </w:rPr>
  </w:style>
  <w:style w:type="character" w:customStyle="1" w:styleId="ae">
    <w:name w:val="Схема документа Знак"/>
    <w:basedOn w:val="a0"/>
    <w:link w:val="ad"/>
    <w:rsid w:val="00F47F54"/>
    <w:rPr>
      <w:rFonts w:ascii="Tahoma" w:hAnsi="Tahoma" w:cs="Tahoma"/>
      <w:sz w:val="16"/>
      <w:szCs w:val="16"/>
    </w:rPr>
  </w:style>
  <w:style w:type="character" w:customStyle="1" w:styleId="10">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basedOn w:val="a0"/>
    <w:rsid w:val="00AC557E"/>
    <w:rPr>
      <w:rFonts w:ascii="Courier New" w:hAnsi="Courier New" w:cs="Courier New"/>
      <w:lang w:val="ru-RU" w:eastAsia="ru-RU" w:bidi="ar-SA"/>
    </w:rPr>
  </w:style>
  <w:style w:type="paragraph" w:styleId="af">
    <w:name w:val="List Paragraph"/>
    <w:basedOn w:val="a"/>
    <w:uiPriority w:val="99"/>
    <w:qFormat/>
    <w:rsid w:val="00CB4E36"/>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0CB0-CFAE-401D-8F21-FB758F5F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2021-04-07T07:42:00Z</cp:lastPrinted>
  <dcterms:created xsi:type="dcterms:W3CDTF">2021-04-07T07:43:00Z</dcterms:created>
  <dcterms:modified xsi:type="dcterms:W3CDTF">2021-04-07T07:43:00Z</dcterms:modified>
</cp:coreProperties>
</file>