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Pr="00031CEB" w:rsidRDefault="00991CBB" w:rsidP="004F7B6D">
      <w:pPr>
        <w:jc w:val="center"/>
        <w:rPr>
          <w:b/>
          <w:sz w:val="28"/>
          <w:szCs w:val="28"/>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B795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О П Р Е Д Е Л Е Н И Е</w:t>
      </w:r>
    </w:p>
    <w:p w:rsidR="00E90DB1" w:rsidRDefault="000C77C0" w:rsidP="00A032B6">
      <w:pPr>
        <w:ind w:left="-181"/>
        <w:jc w:val="center"/>
      </w:pPr>
      <w:r>
        <w:t>о</w:t>
      </w:r>
      <w:r w:rsidR="00B44A22">
        <w:t xml:space="preserve"> возвращении </w:t>
      </w:r>
      <w:r w:rsidR="00A33154">
        <w:t xml:space="preserve">искового </w:t>
      </w:r>
      <w:r w:rsidR="00883259" w:rsidRPr="00974645">
        <w:t xml:space="preserve">заявления </w:t>
      </w:r>
    </w:p>
    <w:p w:rsidR="006D161A" w:rsidRDefault="006D161A" w:rsidP="00A032B6">
      <w:pPr>
        <w:ind w:left="-181"/>
        <w:jc w:val="center"/>
      </w:pPr>
    </w:p>
    <w:p w:rsidR="000C77C0" w:rsidRDefault="000C77C0"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435D1A">
        <w:trPr>
          <w:trHeight w:val="259"/>
        </w:trPr>
        <w:tc>
          <w:tcPr>
            <w:tcW w:w="4952" w:type="dxa"/>
            <w:gridSpan w:val="7"/>
          </w:tcPr>
          <w:p w:rsidR="00435D1A" w:rsidRPr="00B44A22" w:rsidRDefault="00435D1A" w:rsidP="001E4293">
            <w:pPr>
              <w:rPr>
                <w:rFonts w:eastAsia="Calibri"/>
                <w:bCs/>
              </w:rPr>
            </w:pPr>
            <w:r w:rsidRPr="00F00006">
              <w:rPr>
                <w:rFonts w:eastAsia="Calibri"/>
                <w:u w:val="single"/>
              </w:rPr>
              <w:t>«</w:t>
            </w:r>
            <w:r w:rsidR="00216A95" w:rsidRPr="00F00006">
              <w:rPr>
                <w:rFonts w:eastAsia="Calibri"/>
                <w:u w:val="single"/>
              </w:rPr>
              <w:t xml:space="preserve"> </w:t>
            </w:r>
            <w:r w:rsidR="00F00006" w:rsidRPr="00F00006">
              <w:rPr>
                <w:rFonts w:eastAsia="Calibri"/>
                <w:u w:val="single"/>
              </w:rPr>
              <w:t>1</w:t>
            </w:r>
            <w:r w:rsidR="001E4293">
              <w:rPr>
                <w:rFonts w:eastAsia="Calibri"/>
                <w:u w:val="single"/>
              </w:rPr>
              <w:t>7</w:t>
            </w:r>
            <w:r w:rsidR="00216A95">
              <w:rPr>
                <w:rFonts w:eastAsia="Calibri"/>
                <w:u w:val="single"/>
              </w:rPr>
              <w:t xml:space="preserve"> </w:t>
            </w:r>
            <w:r w:rsidRPr="00B44A22">
              <w:rPr>
                <w:rFonts w:eastAsia="Calibri"/>
                <w:u w:val="single"/>
              </w:rPr>
              <w:t xml:space="preserve">» </w:t>
            </w:r>
            <w:r w:rsidR="00F00006">
              <w:rPr>
                <w:rFonts w:eastAsia="Calibri"/>
                <w:u w:val="single"/>
              </w:rPr>
              <w:t>марта</w:t>
            </w:r>
            <w:r w:rsidR="00883259" w:rsidRPr="00B44A22">
              <w:rPr>
                <w:rFonts w:eastAsia="Calibri"/>
                <w:bCs/>
                <w:u w:val="single"/>
              </w:rPr>
              <w:t xml:space="preserve"> </w:t>
            </w:r>
            <w:r w:rsidRPr="00B44A22">
              <w:rPr>
                <w:rFonts w:eastAsia="Calibri"/>
                <w:bCs/>
                <w:u w:val="single"/>
              </w:rPr>
              <w:t>20</w:t>
            </w:r>
            <w:r w:rsidR="00C16206">
              <w:rPr>
                <w:rFonts w:eastAsia="Calibri"/>
                <w:bCs/>
                <w:u w:val="single"/>
              </w:rPr>
              <w:t>2</w:t>
            </w:r>
            <w:r w:rsidR="00F00006">
              <w:rPr>
                <w:rFonts w:eastAsia="Calibri"/>
                <w:bCs/>
                <w:u w:val="single"/>
              </w:rPr>
              <w:t>1</w:t>
            </w:r>
            <w:r w:rsidR="003A3F73" w:rsidRPr="00216A95">
              <w:rPr>
                <w:rFonts w:eastAsia="Calibri"/>
                <w:bCs/>
                <w:u w:val="single"/>
              </w:rPr>
              <w:t xml:space="preserve"> </w:t>
            </w:r>
            <w:r w:rsidRPr="00216A95">
              <w:rPr>
                <w:rFonts w:eastAsia="Calibri"/>
                <w:bCs/>
                <w:u w:val="single"/>
              </w:rPr>
              <w:t>г</w:t>
            </w:r>
            <w:r w:rsidR="003A3F73" w:rsidRPr="00216A95">
              <w:rPr>
                <w:rFonts w:eastAsia="Calibri"/>
                <w:bCs/>
                <w:u w:val="single"/>
              </w:rPr>
              <w:t>ода</w:t>
            </w:r>
          </w:p>
        </w:tc>
        <w:tc>
          <w:tcPr>
            <w:tcW w:w="4971" w:type="dxa"/>
            <w:gridSpan w:val="3"/>
          </w:tcPr>
          <w:p w:rsidR="00435D1A" w:rsidRPr="00B44A22" w:rsidRDefault="00435D1A" w:rsidP="00AC299A">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F00006">
              <w:rPr>
                <w:rFonts w:eastAsia="Calibri"/>
                <w:u w:val="single"/>
              </w:rPr>
              <w:t>13</w:t>
            </w:r>
            <w:r w:rsidR="00AC299A">
              <w:rPr>
                <w:rFonts w:eastAsia="Calibri"/>
                <w:u w:val="single"/>
              </w:rPr>
              <w:t>8</w:t>
            </w:r>
            <w:r w:rsidR="00883259" w:rsidRPr="00B44A22">
              <w:rPr>
                <w:rFonts w:eastAsia="Calibri"/>
                <w:u w:val="single"/>
              </w:rPr>
              <w:t>/</w:t>
            </w:r>
            <w:r w:rsidR="00C16206">
              <w:rPr>
                <w:rFonts w:eastAsia="Calibri"/>
                <w:u w:val="single"/>
              </w:rPr>
              <w:t>2</w:t>
            </w:r>
            <w:r w:rsidR="00F00006">
              <w:rPr>
                <w:rFonts w:eastAsia="Calibri"/>
                <w:u w:val="single"/>
              </w:rPr>
              <w:t>1</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435D1A">
        <w:tc>
          <w:tcPr>
            <w:tcW w:w="1985" w:type="dxa"/>
            <w:gridSpan w:val="2"/>
          </w:tcPr>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Default="008273B9" w:rsidP="00F64381">
            <w:pPr>
              <w:rPr>
                <w:rFonts w:eastAsia="Calibri"/>
                <w:b/>
                <w:bCs/>
              </w:rPr>
            </w:pPr>
          </w:p>
          <w:p w:rsidR="006D161A" w:rsidRPr="000E340C" w:rsidRDefault="006D161A" w:rsidP="00F64381">
            <w:pPr>
              <w:rPr>
                <w:rFonts w:eastAsia="Calibri"/>
                <w:b/>
                <w:bCs/>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5A6712" w:rsidRPr="00F00006" w:rsidRDefault="0099192F" w:rsidP="00F00006">
      <w:pPr>
        <w:ind w:right="-58" w:firstLine="709"/>
        <w:jc w:val="both"/>
      </w:pPr>
      <w:r>
        <w:t xml:space="preserve">Арбитражный суд Приднестровской Молдавской Республики в составе судьи            </w:t>
      </w:r>
      <w:r w:rsidR="00C16206" w:rsidRPr="00C16206">
        <w:t>Е.В.Качуровск</w:t>
      </w:r>
      <w:r>
        <w:t>ой</w:t>
      </w:r>
      <w:r w:rsidR="00C16206" w:rsidRPr="00C16206">
        <w:t xml:space="preserve">, рассмотрев </w:t>
      </w:r>
      <w:r w:rsidR="00F46621">
        <w:t>исково</w:t>
      </w:r>
      <w:r w:rsidR="008D0ED2">
        <w:t>е</w:t>
      </w:r>
      <w:r w:rsidR="00F46621">
        <w:t xml:space="preserve"> </w:t>
      </w:r>
      <w:r w:rsidR="00C16206" w:rsidRPr="00C16206">
        <w:t>заявлени</w:t>
      </w:r>
      <w:r w:rsidR="008D0ED2">
        <w:t>е</w:t>
      </w:r>
      <w:r w:rsidR="00F00006">
        <w:t xml:space="preserve"> </w:t>
      </w:r>
      <w:r w:rsidR="00F00006" w:rsidRPr="00F00006">
        <w:t xml:space="preserve">Государственного унитарного предприятия  «Республиканские оросительные системы» (г. Григориполь, с. Красная горка, ул. Объездная  дорога, д.11) </w:t>
      </w:r>
      <w:r w:rsidR="00031CEB" w:rsidRPr="00031CEB">
        <w:t>к обществу с ограниченной ответственностью  «Агросид» (Слободзейский р-он, с. Бли</w:t>
      </w:r>
      <w:r w:rsidR="00031CEB">
        <w:t xml:space="preserve">жний Хутор ул.Октябрьская,130) </w:t>
      </w:r>
      <w:r w:rsidR="00F00006" w:rsidRPr="00F00006">
        <w:t>о взыскании задолженности и процентов за пользование чужими денежными средствами</w:t>
      </w:r>
      <w:r w:rsidR="005A6712" w:rsidRPr="00F00006">
        <w:t>, а также изучив приложенные к нему документы,</w:t>
      </w:r>
    </w:p>
    <w:p w:rsidR="005A6712" w:rsidRDefault="005A6712" w:rsidP="005A6712">
      <w:pPr>
        <w:ind w:firstLine="708"/>
        <w:jc w:val="both"/>
      </w:pPr>
    </w:p>
    <w:p w:rsidR="00C16206" w:rsidRDefault="00C16206" w:rsidP="00C16206">
      <w:pPr>
        <w:ind w:right="-1" w:firstLine="709"/>
        <w:jc w:val="center"/>
        <w:rPr>
          <w:b/>
        </w:rPr>
      </w:pPr>
      <w:r>
        <w:rPr>
          <w:b/>
        </w:rPr>
        <w:t>У С Т А Н О В И Л:</w:t>
      </w:r>
    </w:p>
    <w:p w:rsidR="008D0ED2" w:rsidRDefault="008D0ED2" w:rsidP="00A962E3">
      <w:pPr>
        <w:ind w:right="-58" w:firstLine="709"/>
        <w:jc w:val="both"/>
      </w:pPr>
    </w:p>
    <w:p w:rsidR="005A6712" w:rsidRDefault="00216A95" w:rsidP="00A962E3">
      <w:pPr>
        <w:ind w:right="-58" w:firstLine="709"/>
        <w:jc w:val="both"/>
      </w:pPr>
      <w:r>
        <w:t>ГУ</w:t>
      </w:r>
      <w:r w:rsidR="00F46621">
        <w:t xml:space="preserve"> </w:t>
      </w:r>
      <w:r w:rsidR="005A6712">
        <w:t>«</w:t>
      </w:r>
      <w:r>
        <w:t>Приднестровские оросительные системы</w:t>
      </w:r>
      <w:r w:rsidR="005A6712">
        <w:t xml:space="preserve">» </w:t>
      </w:r>
      <w:r w:rsidR="005A6712">
        <w:rPr>
          <w:bCs/>
        </w:rPr>
        <w:t xml:space="preserve">обратилось в Арбитражный суд </w:t>
      </w:r>
      <w:r w:rsidR="005A6712">
        <w:t xml:space="preserve">Приднестровской Молдавской Республики (далее Арбитражный суд) </w:t>
      </w:r>
      <w:r w:rsidR="00AC299A">
        <w:t xml:space="preserve">с иском </w:t>
      </w:r>
      <w:r w:rsidR="005A6712">
        <w:t>к ООО «</w:t>
      </w:r>
      <w:r w:rsidR="001E4293">
        <w:t>Агрос</w:t>
      </w:r>
      <w:r w:rsidR="003749B9">
        <w:t>ид</w:t>
      </w:r>
      <w:r w:rsidR="005A6712">
        <w:t xml:space="preserve">» о взыскании </w:t>
      </w:r>
      <w:r>
        <w:t>задолженности и процентов за пользование чужими денежными средствами</w:t>
      </w:r>
      <w:r w:rsidR="005A6712">
        <w:t>.</w:t>
      </w:r>
    </w:p>
    <w:p w:rsidR="008D0ED2" w:rsidRDefault="00C16206" w:rsidP="005A6712">
      <w:pPr>
        <w:ind w:right="-58" w:firstLine="709"/>
        <w:jc w:val="both"/>
      </w:pPr>
      <w:r>
        <w:t xml:space="preserve">В связи с несоблюдением </w:t>
      </w:r>
      <w:r w:rsidR="004A3812">
        <w:t>истцом</w:t>
      </w:r>
      <w:r>
        <w:t xml:space="preserve"> требований стат</w:t>
      </w:r>
      <w:r w:rsidR="003749B9">
        <w:t>ьи</w:t>
      </w:r>
      <w:r>
        <w:t xml:space="preserve"> </w:t>
      </w:r>
      <w:r w:rsidR="0099192F">
        <w:t xml:space="preserve">93 </w:t>
      </w:r>
      <w:r w:rsidR="003F3688" w:rsidRPr="00C16206">
        <w:rPr>
          <w:color w:val="000000" w:themeColor="text1"/>
        </w:rPr>
        <w:t>А</w:t>
      </w:r>
      <w:r w:rsidR="003F3688">
        <w:rPr>
          <w:color w:val="000000" w:themeColor="text1"/>
        </w:rPr>
        <w:t xml:space="preserve">рбитражного процессуального кодекса </w:t>
      </w:r>
      <w:r w:rsidR="003F3688">
        <w:t>Приднестровской Молдавской Республики</w:t>
      </w:r>
      <w:r w:rsidR="003F3688" w:rsidRPr="00766B87">
        <w:rPr>
          <w:color w:val="000000" w:themeColor="text1"/>
        </w:rPr>
        <w:t xml:space="preserve"> </w:t>
      </w:r>
      <w:r w:rsidR="003F3688">
        <w:rPr>
          <w:color w:val="000000" w:themeColor="text1"/>
        </w:rPr>
        <w:t>(далее</w:t>
      </w:r>
      <w:r>
        <w:t xml:space="preserve"> </w:t>
      </w:r>
      <w:r w:rsidR="00CA0625">
        <w:t>АПК ПМР</w:t>
      </w:r>
      <w:r w:rsidR="003F3688">
        <w:t>)</w:t>
      </w:r>
      <w:r w:rsidR="00CA0625">
        <w:t xml:space="preserve"> </w:t>
      </w:r>
      <w:r>
        <w:t>о</w:t>
      </w:r>
      <w:r w:rsidRPr="00214524">
        <w:t xml:space="preserve">пределением Арбитражного суда от </w:t>
      </w:r>
      <w:r w:rsidR="001E4293">
        <w:t>03.03.</w:t>
      </w:r>
      <w:r w:rsidRPr="00214524">
        <w:t>202</w:t>
      </w:r>
      <w:r w:rsidR="001E4293">
        <w:t>1</w:t>
      </w:r>
      <w:r w:rsidRPr="00214524">
        <w:t xml:space="preserve"> года </w:t>
      </w:r>
      <w:r w:rsidR="005A6712">
        <w:t xml:space="preserve">исковое </w:t>
      </w:r>
      <w:r w:rsidRPr="00C16206">
        <w:t>заявление оставлено</w:t>
      </w:r>
      <w:r w:rsidRPr="00214524">
        <w:t xml:space="preserve"> без движения, </w:t>
      </w:r>
      <w:r w:rsidR="005A6712">
        <w:t xml:space="preserve">истцу </w:t>
      </w:r>
      <w:r w:rsidRPr="00214524">
        <w:t xml:space="preserve">предложено устранить обстоятельства, послужившие основанием для оставления </w:t>
      </w:r>
      <w:r w:rsidR="0087511C">
        <w:t xml:space="preserve">искового </w:t>
      </w:r>
      <w:r w:rsidRPr="00214524">
        <w:t>заявления без движения</w:t>
      </w:r>
      <w:r>
        <w:t xml:space="preserve"> в срок до </w:t>
      </w:r>
      <w:r w:rsidR="001E4293">
        <w:t>16.03.</w:t>
      </w:r>
      <w:r w:rsidR="00216A95">
        <w:t>202</w:t>
      </w:r>
      <w:r w:rsidR="001E4293">
        <w:t>1</w:t>
      </w:r>
      <w:r w:rsidR="00216A95">
        <w:t xml:space="preserve"> г.</w:t>
      </w:r>
      <w:r w:rsidRPr="00214524">
        <w:t xml:space="preserve"> </w:t>
      </w:r>
      <w:r w:rsidR="005A6712">
        <w:t xml:space="preserve">Документы, устраняющие обстоятельства, послужившие основанием для оставления искового заявления без движения, должны были в соответствии с определением суда поступить непосредственно в канцелярию Арбитражного суда ПМР не позднее </w:t>
      </w:r>
      <w:r w:rsidR="005A6712" w:rsidRPr="00430AD7">
        <w:t xml:space="preserve">15 часов </w:t>
      </w:r>
      <w:r w:rsidR="001E4293">
        <w:t>16.03.</w:t>
      </w:r>
      <w:r w:rsidR="005A6712" w:rsidRPr="00430AD7">
        <w:t>202</w:t>
      </w:r>
      <w:r w:rsidR="001E4293">
        <w:t>1</w:t>
      </w:r>
      <w:r w:rsidR="005A6712" w:rsidRPr="00430AD7">
        <w:t xml:space="preserve"> года.</w:t>
      </w:r>
    </w:p>
    <w:p w:rsidR="005A6712" w:rsidRPr="00430AD7" w:rsidRDefault="008D0ED2" w:rsidP="005A6712">
      <w:pPr>
        <w:ind w:right="-58" w:firstLine="709"/>
        <w:jc w:val="both"/>
      </w:pPr>
      <w:r>
        <w:t xml:space="preserve">Копия определения получена истцом </w:t>
      </w:r>
      <w:r w:rsidR="001E4293">
        <w:t>04.03.</w:t>
      </w:r>
      <w:r>
        <w:t>202</w:t>
      </w:r>
      <w:r w:rsidR="001E4293">
        <w:t>1</w:t>
      </w:r>
      <w:r>
        <w:t xml:space="preserve"> г., что подтверждается подписью на почтовом уведомлении № 3/</w:t>
      </w:r>
      <w:r w:rsidR="001E4293">
        <w:t>527</w:t>
      </w:r>
      <w:r>
        <w:t xml:space="preserve"> от </w:t>
      </w:r>
      <w:r w:rsidR="001E4293">
        <w:t>03.03.</w:t>
      </w:r>
      <w:r>
        <w:t>202</w:t>
      </w:r>
      <w:r w:rsidR="001E4293">
        <w:t>1</w:t>
      </w:r>
      <w:r>
        <w:t xml:space="preserve"> г. </w:t>
      </w:r>
      <w:r w:rsidR="005A6712" w:rsidRPr="00430AD7">
        <w:t xml:space="preserve"> </w:t>
      </w:r>
    </w:p>
    <w:p w:rsidR="005A6712" w:rsidRDefault="00C16206" w:rsidP="001E4293">
      <w:pPr>
        <w:ind w:right="-58" w:firstLine="709"/>
        <w:jc w:val="both"/>
      </w:pPr>
      <w:r>
        <w:t>Однако указанны</w:t>
      </w:r>
      <w:r w:rsidR="005A6712">
        <w:t>е</w:t>
      </w:r>
      <w:r>
        <w:t xml:space="preserve"> в определении недостатк</w:t>
      </w:r>
      <w:r w:rsidR="005A6712">
        <w:t>и</w:t>
      </w:r>
      <w:r w:rsidR="00891811">
        <w:t xml:space="preserve"> </w:t>
      </w:r>
      <w:r w:rsidR="005A6712">
        <w:t xml:space="preserve">в установленный судом срок </w:t>
      </w:r>
      <w:r w:rsidR="001E4293">
        <w:t xml:space="preserve">и по состоянию на 17.03.2021г. </w:t>
      </w:r>
      <w:r w:rsidR="005A6712">
        <w:t xml:space="preserve">истцом не устранены. </w:t>
      </w:r>
    </w:p>
    <w:p w:rsidR="00C16206" w:rsidRDefault="003F3688" w:rsidP="008D78CE">
      <w:pPr>
        <w:tabs>
          <w:tab w:val="right" w:pos="10148"/>
        </w:tabs>
        <w:ind w:firstLine="567"/>
        <w:jc w:val="both"/>
      </w:pPr>
      <w:r>
        <w:rPr>
          <w:color w:val="000000" w:themeColor="text1"/>
        </w:rPr>
        <w:t>Как следует из</w:t>
      </w:r>
      <w:r w:rsidR="007D2516" w:rsidRPr="00B75FCB">
        <w:rPr>
          <w:color w:val="000000" w:themeColor="text1"/>
        </w:rPr>
        <w:t xml:space="preserve">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основаниями </w:t>
      </w:r>
      <w:r w:rsidR="003A3F73" w:rsidRPr="00CA0625">
        <w:rPr>
          <w:color w:val="000000" w:themeColor="text1"/>
        </w:rPr>
        <w:t>для оставления искового заявления без 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3A3F73" w:rsidRDefault="003A3F73" w:rsidP="008D78CE">
      <w:pPr>
        <w:tabs>
          <w:tab w:val="right" w:pos="10148"/>
        </w:tabs>
        <w:ind w:firstLine="567"/>
        <w:jc w:val="both"/>
      </w:pPr>
      <w:r>
        <w:t xml:space="preserve">На основании изложенного и </w:t>
      </w:r>
      <w:r w:rsidRPr="00C16206">
        <w:rPr>
          <w:color w:val="000000" w:themeColor="text1"/>
        </w:rPr>
        <w:t xml:space="preserve">руководствуясь </w:t>
      </w:r>
      <w:r w:rsidR="00C16206" w:rsidRPr="00C16206">
        <w:rPr>
          <w:color w:val="000000" w:themeColor="text1"/>
        </w:rPr>
        <w:t xml:space="preserve">п. 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Арбитражный суд Приднестровской Молдавской Республики</w:t>
      </w:r>
      <w:r w:rsidR="00891811">
        <w:t>,</w:t>
      </w:r>
      <w:r w:rsidR="0099192F">
        <w:t xml:space="preserve"> </w:t>
      </w:r>
    </w:p>
    <w:p w:rsidR="001E4293" w:rsidRDefault="001E4293" w:rsidP="008D78CE">
      <w:pPr>
        <w:tabs>
          <w:tab w:val="right" w:pos="10148"/>
        </w:tabs>
        <w:ind w:firstLine="567"/>
        <w:jc w:val="both"/>
      </w:pPr>
    </w:p>
    <w:p w:rsidR="001E4293" w:rsidRDefault="001E4293" w:rsidP="008D78CE">
      <w:pPr>
        <w:tabs>
          <w:tab w:val="right" w:pos="10148"/>
        </w:tabs>
        <w:ind w:firstLine="567"/>
        <w:jc w:val="both"/>
      </w:pPr>
    </w:p>
    <w:p w:rsidR="001E4293" w:rsidRDefault="001E4293" w:rsidP="008D78CE">
      <w:pPr>
        <w:tabs>
          <w:tab w:val="right" w:pos="10148"/>
        </w:tabs>
        <w:ind w:firstLine="567"/>
        <w:jc w:val="both"/>
      </w:pPr>
    </w:p>
    <w:p w:rsidR="00C16206" w:rsidRDefault="00C16206" w:rsidP="00A962E3">
      <w:pPr>
        <w:ind w:right="-1" w:firstLine="709"/>
        <w:jc w:val="center"/>
        <w:rPr>
          <w:b/>
        </w:rPr>
      </w:pPr>
      <w:r>
        <w:rPr>
          <w:b/>
        </w:rPr>
        <w:t>О П Р Е Д Е Л И Л:</w:t>
      </w:r>
    </w:p>
    <w:p w:rsidR="00A962E3" w:rsidRDefault="00A962E3" w:rsidP="00A962E3">
      <w:pPr>
        <w:ind w:right="-1" w:firstLine="709"/>
        <w:jc w:val="center"/>
        <w:rPr>
          <w:b/>
        </w:rPr>
      </w:pPr>
    </w:p>
    <w:p w:rsidR="00A273D7" w:rsidRDefault="00A273D7" w:rsidP="005A6712">
      <w:pPr>
        <w:ind w:right="-58" w:firstLine="709"/>
        <w:jc w:val="both"/>
      </w:pPr>
      <w:r w:rsidRPr="00B75FCB">
        <w:rPr>
          <w:rStyle w:val="FontStyle14"/>
          <w:sz w:val="24"/>
          <w:szCs w:val="24"/>
        </w:rPr>
        <w:t>Возвратить</w:t>
      </w:r>
      <w:r w:rsidR="00AD181A" w:rsidRPr="00AD181A">
        <w:t xml:space="preserve"> </w:t>
      </w:r>
      <w:r w:rsidR="00216A95">
        <w:t>ГУ</w:t>
      </w:r>
      <w:r w:rsidR="005A6712">
        <w:t xml:space="preserve"> «</w:t>
      </w:r>
      <w:r w:rsidR="00216A95">
        <w:t>Приднестровские оросительные системы</w:t>
      </w:r>
      <w:r w:rsidR="005A6712">
        <w:t>» исковое заявление к ООО «</w:t>
      </w:r>
      <w:r w:rsidR="00E4457B">
        <w:t>Агро</w:t>
      </w:r>
      <w:r w:rsidR="00F97483">
        <w:t>с</w:t>
      </w:r>
      <w:r w:rsidR="00D647E9">
        <w:t>ид</w:t>
      </w:r>
      <w:r w:rsidR="005A6712">
        <w:t xml:space="preserve">» о взыскании </w:t>
      </w:r>
      <w:r w:rsidR="004B1CE5">
        <w:t>задолженности и процентов за пользование чужими денежными средствами</w:t>
      </w:r>
      <w:r w:rsidR="003A0649">
        <w:t>, а также приложенные к иску документы.</w:t>
      </w:r>
    </w:p>
    <w:p w:rsidR="00B75FCB" w:rsidRPr="00B75FCB" w:rsidRDefault="00B75FCB" w:rsidP="00A962E3">
      <w:pPr>
        <w:ind w:firstLine="709"/>
        <w:jc w:val="both"/>
        <w:rPr>
          <w:rStyle w:val="FontStyle14"/>
          <w:sz w:val="24"/>
          <w:szCs w:val="24"/>
        </w:rPr>
      </w:pPr>
      <w:r w:rsidRPr="00B75FCB">
        <w:rPr>
          <w:rStyle w:val="FontStyle14"/>
          <w:sz w:val="24"/>
          <w:szCs w:val="24"/>
        </w:rPr>
        <w:t xml:space="preserve">Разъяснить </w:t>
      </w:r>
      <w:r w:rsidR="00AD181A">
        <w:rPr>
          <w:rStyle w:val="FontStyle14"/>
          <w:sz w:val="24"/>
          <w:szCs w:val="24"/>
        </w:rPr>
        <w:t>истцу</w:t>
      </w:r>
      <w:r w:rsidRPr="00B75FCB">
        <w:rPr>
          <w:rStyle w:val="FontStyle14"/>
          <w:sz w:val="24"/>
          <w:szCs w:val="24"/>
        </w:rPr>
        <w:t>, что в соответствии с пунктом 4 статьи 97 Арбитражного процессуального кодекса Приднестровской Молдавской Республики возвращение заявления не препятствует вторичному обращению в Арбитражный суд в общем порядке после устранения допущенных нарушений.</w:t>
      </w:r>
    </w:p>
    <w:p w:rsidR="00B75FCB" w:rsidRDefault="00B75FCB" w:rsidP="00B75FCB">
      <w:pPr>
        <w:ind w:firstLine="709"/>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B75FCB" w:rsidRDefault="00B75FCB" w:rsidP="00B75FCB">
      <w:pPr>
        <w:ind w:left="709"/>
        <w:jc w:val="both"/>
      </w:pPr>
    </w:p>
    <w:p w:rsidR="00432277" w:rsidRDefault="00432277" w:rsidP="00B75FCB">
      <w:pPr>
        <w:ind w:left="709"/>
        <w:jc w:val="both"/>
      </w:pPr>
    </w:p>
    <w:p w:rsidR="00B75FCB" w:rsidRPr="00481C90" w:rsidRDefault="00B75FCB" w:rsidP="00B75FCB">
      <w:pPr>
        <w:ind w:left="709"/>
        <w:jc w:val="both"/>
      </w:pPr>
      <w:r w:rsidRPr="00C039B3">
        <w:t xml:space="preserve">Приложение </w:t>
      </w:r>
      <w:r w:rsidR="00652871" w:rsidRPr="00C039B3">
        <w:t xml:space="preserve">в адрес </w:t>
      </w:r>
      <w:r w:rsidR="00C039B3">
        <w:t>истца</w:t>
      </w:r>
      <w:r w:rsidR="00652871" w:rsidRPr="00C039B3">
        <w:t xml:space="preserve"> </w:t>
      </w:r>
      <w:r w:rsidRPr="00C039B3">
        <w:t xml:space="preserve">на </w:t>
      </w:r>
      <w:r w:rsidR="003A0649">
        <w:t>24</w:t>
      </w:r>
      <w:r w:rsidR="00AD07B4" w:rsidRPr="00C039B3">
        <w:t xml:space="preserve"> </w:t>
      </w:r>
      <w:r w:rsidRPr="00C039B3">
        <w:t>листах.</w:t>
      </w:r>
    </w:p>
    <w:p w:rsidR="00B75FCB" w:rsidRDefault="00B75FCB" w:rsidP="00B75FCB">
      <w:pPr>
        <w:ind w:left="709"/>
        <w:jc w:val="both"/>
      </w:pPr>
    </w:p>
    <w:p w:rsidR="004A6BA4" w:rsidRDefault="004A6BA4" w:rsidP="004A6BA4">
      <w:pPr>
        <w:ind w:left="709"/>
        <w:jc w:val="both"/>
      </w:pPr>
    </w:p>
    <w:p w:rsidR="004A6BA4" w:rsidRDefault="004A6BA4" w:rsidP="004A6BA4">
      <w:pPr>
        <w:jc w:val="both"/>
        <w:rPr>
          <w:b/>
        </w:rPr>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Приднестровской Молдавской Республики                                          Е.В.Качуровская</w:t>
      </w:r>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sectPr w:rsidR="00C16206" w:rsidSect="00BC52EE">
      <w:footerReference w:type="default" r:id="rId8"/>
      <w:pgSz w:w="11906" w:h="16838"/>
      <w:pgMar w:top="720" w:right="567"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69A" w:rsidRDefault="00DB569A" w:rsidP="00747910">
      <w:r>
        <w:separator/>
      </w:r>
    </w:p>
  </w:endnote>
  <w:endnote w:type="continuationSeparator" w:id="1">
    <w:p w:rsidR="00DB569A" w:rsidRDefault="00DB569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69A" w:rsidRDefault="00DB569A" w:rsidP="00747910">
      <w:r>
        <w:separator/>
      </w:r>
    </w:p>
  </w:footnote>
  <w:footnote w:type="continuationSeparator" w:id="1">
    <w:p w:rsidR="00DB569A" w:rsidRDefault="00DB569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31CEB"/>
    <w:rsid w:val="000400F3"/>
    <w:rsid w:val="000707AE"/>
    <w:rsid w:val="00081B5A"/>
    <w:rsid w:val="000B242E"/>
    <w:rsid w:val="000C4195"/>
    <w:rsid w:val="000C512D"/>
    <w:rsid w:val="000C64A5"/>
    <w:rsid w:val="000C77C0"/>
    <w:rsid w:val="000D4142"/>
    <w:rsid w:val="000E2672"/>
    <w:rsid w:val="000E340C"/>
    <w:rsid w:val="000E5906"/>
    <w:rsid w:val="00101628"/>
    <w:rsid w:val="00122807"/>
    <w:rsid w:val="001823B7"/>
    <w:rsid w:val="001979FD"/>
    <w:rsid w:val="001A48C1"/>
    <w:rsid w:val="001C1B4F"/>
    <w:rsid w:val="001D3D23"/>
    <w:rsid w:val="001E4293"/>
    <w:rsid w:val="00212E13"/>
    <w:rsid w:val="00216A95"/>
    <w:rsid w:val="00235C98"/>
    <w:rsid w:val="002431E5"/>
    <w:rsid w:val="00247B3B"/>
    <w:rsid w:val="00250939"/>
    <w:rsid w:val="0026059C"/>
    <w:rsid w:val="0027446F"/>
    <w:rsid w:val="00274B11"/>
    <w:rsid w:val="002935E2"/>
    <w:rsid w:val="002D2926"/>
    <w:rsid w:val="002E2F12"/>
    <w:rsid w:val="00301F1A"/>
    <w:rsid w:val="0030226A"/>
    <w:rsid w:val="00303D72"/>
    <w:rsid w:val="00317774"/>
    <w:rsid w:val="003331A5"/>
    <w:rsid w:val="00365A17"/>
    <w:rsid w:val="003749B9"/>
    <w:rsid w:val="00381CF3"/>
    <w:rsid w:val="003A0649"/>
    <w:rsid w:val="003A3F73"/>
    <w:rsid w:val="003A617A"/>
    <w:rsid w:val="003A7D92"/>
    <w:rsid w:val="003B21D3"/>
    <w:rsid w:val="003F3688"/>
    <w:rsid w:val="00406BD5"/>
    <w:rsid w:val="00420D29"/>
    <w:rsid w:val="00424065"/>
    <w:rsid w:val="00432277"/>
    <w:rsid w:val="00435D1A"/>
    <w:rsid w:val="00444EB1"/>
    <w:rsid w:val="00481C90"/>
    <w:rsid w:val="0049186D"/>
    <w:rsid w:val="00493088"/>
    <w:rsid w:val="004A01C7"/>
    <w:rsid w:val="004A3812"/>
    <w:rsid w:val="004A6BA4"/>
    <w:rsid w:val="004B0F41"/>
    <w:rsid w:val="004B1CE5"/>
    <w:rsid w:val="004B4746"/>
    <w:rsid w:val="004B50D1"/>
    <w:rsid w:val="004C20C2"/>
    <w:rsid w:val="004C56EA"/>
    <w:rsid w:val="004C701C"/>
    <w:rsid w:val="004F6545"/>
    <w:rsid w:val="004F7B6D"/>
    <w:rsid w:val="00503893"/>
    <w:rsid w:val="0051667D"/>
    <w:rsid w:val="00533BE1"/>
    <w:rsid w:val="00587A0E"/>
    <w:rsid w:val="005A6712"/>
    <w:rsid w:val="005A6736"/>
    <w:rsid w:val="005B3366"/>
    <w:rsid w:val="005B4985"/>
    <w:rsid w:val="005B7952"/>
    <w:rsid w:val="00652871"/>
    <w:rsid w:val="0068136E"/>
    <w:rsid w:val="00694E57"/>
    <w:rsid w:val="006976EB"/>
    <w:rsid w:val="006C6C04"/>
    <w:rsid w:val="006C6D2B"/>
    <w:rsid w:val="006D161A"/>
    <w:rsid w:val="006E570D"/>
    <w:rsid w:val="006F4ACF"/>
    <w:rsid w:val="0070379A"/>
    <w:rsid w:val="00705EDD"/>
    <w:rsid w:val="00710036"/>
    <w:rsid w:val="00717526"/>
    <w:rsid w:val="00726F52"/>
    <w:rsid w:val="007407B5"/>
    <w:rsid w:val="00747910"/>
    <w:rsid w:val="00750035"/>
    <w:rsid w:val="0075091C"/>
    <w:rsid w:val="007A51C3"/>
    <w:rsid w:val="007B6832"/>
    <w:rsid w:val="007B6C58"/>
    <w:rsid w:val="007B74F2"/>
    <w:rsid w:val="007C4AFD"/>
    <w:rsid w:val="007C60CE"/>
    <w:rsid w:val="007D2516"/>
    <w:rsid w:val="007F6115"/>
    <w:rsid w:val="00813A13"/>
    <w:rsid w:val="008273B9"/>
    <w:rsid w:val="00833454"/>
    <w:rsid w:val="00847479"/>
    <w:rsid w:val="00874EDB"/>
    <w:rsid w:val="0087511C"/>
    <w:rsid w:val="00883259"/>
    <w:rsid w:val="00891811"/>
    <w:rsid w:val="008A11D6"/>
    <w:rsid w:val="008C005D"/>
    <w:rsid w:val="008D0ED2"/>
    <w:rsid w:val="008D78CE"/>
    <w:rsid w:val="008F60C5"/>
    <w:rsid w:val="008F64F3"/>
    <w:rsid w:val="00900716"/>
    <w:rsid w:val="00903238"/>
    <w:rsid w:val="00904994"/>
    <w:rsid w:val="00917458"/>
    <w:rsid w:val="00926900"/>
    <w:rsid w:val="00935059"/>
    <w:rsid w:val="00974645"/>
    <w:rsid w:val="0099192F"/>
    <w:rsid w:val="00991CBB"/>
    <w:rsid w:val="00997222"/>
    <w:rsid w:val="009977D8"/>
    <w:rsid w:val="009B61B4"/>
    <w:rsid w:val="009E1A79"/>
    <w:rsid w:val="00A032B6"/>
    <w:rsid w:val="00A21E41"/>
    <w:rsid w:val="00A273D7"/>
    <w:rsid w:val="00A33154"/>
    <w:rsid w:val="00A42F10"/>
    <w:rsid w:val="00A654E1"/>
    <w:rsid w:val="00A962E3"/>
    <w:rsid w:val="00AB0B39"/>
    <w:rsid w:val="00AB326C"/>
    <w:rsid w:val="00AC299A"/>
    <w:rsid w:val="00AC6E73"/>
    <w:rsid w:val="00AD07B4"/>
    <w:rsid w:val="00AD181A"/>
    <w:rsid w:val="00AE51C6"/>
    <w:rsid w:val="00AF591D"/>
    <w:rsid w:val="00B02565"/>
    <w:rsid w:val="00B064A3"/>
    <w:rsid w:val="00B10BA2"/>
    <w:rsid w:val="00B44A22"/>
    <w:rsid w:val="00B64D7E"/>
    <w:rsid w:val="00B75FCB"/>
    <w:rsid w:val="00BB131F"/>
    <w:rsid w:val="00BC52EE"/>
    <w:rsid w:val="00BE7BA6"/>
    <w:rsid w:val="00C039B3"/>
    <w:rsid w:val="00C16206"/>
    <w:rsid w:val="00C3734A"/>
    <w:rsid w:val="00C43442"/>
    <w:rsid w:val="00C77370"/>
    <w:rsid w:val="00CA0625"/>
    <w:rsid w:val="00CA1791"/>
    <w:rsid w:val="00CC555F"/>
    <w:rsid w:val="00D647E9"/>
    <w:rsid w:val="00D869FA"/>
    <w:rsid w:val="00D90468"/>
    <w:rsid w:val="00D90A20"/>
    <w:rsid w:val="00D96E34"/>
    <w:rsid w:val="00DA7FF3"/>
    <w:rsid w:val="00DB569A"/>
    <w:rsid w:val="00DC1EB0"/>
    <w:rsid w:val="00DC7E52"/>
    <w:rsid w:val="00E265BC"/>
    <w:rsid w:val="00E37C05"/>
    <w:rsid w:val="00E37FF1"/>
    <w:rsid w:val="00E4457B"/>
    <w:rsid w:val="00E47763"/>
    <w:rsid w:val="00E6678D"/>
    <w:rsid w:val="00E67E5E"/>
    <w:rsid w:val="00E90DB1"/>
    <w:rsid w:val="00E91ACB"/>
    <w:rsid w:val="00E92C98"/>
    <w:rsid w:val="00E975E9"/>
    <w:rsid w:val="00ED67B4"/>
    <w:rsid w:val="00F00006"/>
    <w:rsid w:val="00F16008"/>
    <w:rsid w:val="00F253A2"/>
    <w:rsid w:val="00F27C88"/>
    <w:rsid w:val="00F40B11"/>
    <w:rsid w:val="00F46621"/>
    <w:rsid w:val="00F64381"/>
    <w:rsid w:val="00F72C4D"/>
    <w:rsid w:val="00F97483"/>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511</Words>
  <Characters>2914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cp:revision>
  <cp:lastPrinted>2021-03-16T13:22:00Z</cp:lastPrinted>
  <dcterms:created xsi:type="dcterms:W3CDTF">2021-03-16T13:13:00Z</dcterms:created>
  <dcterms:modified xsi:type="dcterms:W3CDTF">2021-03-16T13:22:00Z</dcterms:modified>
</cp:coreProperties>
</file>