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F6C5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334DF4">
            <w:pPr>
              <w:rPr>
                <w:rFonts w:eastAsia="Calibri"/>
                <w:bCs/>
                <w:u w:val="single"/>
              </w:rPr>
            </w:pPr>
            <w:r w:rsidRPr="00531BFC">
              <w:rPr>
                <w:rFonts w:eastAsia="Calibri"/>
                <w:u w:val="single"/>
              </w:rPr>
              <w:t>«</w:t>
            </w:r>
            <w:r w:rsidR="00334DF4">
              <w:rPr>
                <w:rFonts w:eastAsia="Calibri"/>
                <w:u w:val="single"/>
              </w:rPr>
              <w:t>24</w:t>
            </w:r>
            <w:r w:rsidRPr="00531BFC">
              <w:rPr>
                <w:rFonts w:eastAsia="Calibri"/>
                <w:u w:val="single"/>
              </w:rPr>
              <w:t>»</w:t>
            </w:r>
            <w:r w:rsidR="00485A7C" w:rsidRPr="00531BFC">
              <w:rPr>
                <w:rFonts w:eastAsia="Calibri"/>
                <w:u w:val="single"/>
                <w:lang w:val="en-US"/>
              </w:rPr>
              <w:t xml:space="preserve"> </w:t>
            </w:r>
            <w:r w:rsidR="00334DF4">
              <w:rPr>
                <w:rFonts w:eastAsia="Calibri"/>
                <w:u w:val="single"/>
              </w:rPr>
              <w:t xml:space="preserve">марта </w:t>
            </w:r>
            <w:r w:rsidRPr="00531BFC">
              <w:rPr>
                <w:rFonts w:eastAsia="Calibri"/>
                <w:bCs/>
                <w:u w:val="single"/>
              </w:rPr>
              <w:t>20</w:t>
            </w:r>
            <w:r w:rsidR="00554B3A" w:rsidRPr="00531BFC">
              <w:rPr>
                <w:rFonts w:eastAsia="Calibri"/>
                <w:bCs/>
                <w:u w:val="single"/>
              </w:rPr>
              <w:t>2</w:t>
            </w:r>
            <w:r w:rsidR="00334DF4">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1F1CE2" w:rsidRDefault="00435D1A" w:rsidP="00334DF4">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F1CE2">
              <w:rPr>
                <w:rFonts w:eastAsia="Calibri"/>
                <w:bCs/>
                <w:u w:val="single"/>
              </w:rPr>
              <w:t xml:space="preserve">Дело </w:t>
            </w:r>
            <w:r w:rsidRPr="001F1CE2">
              <w:rPr>
                <w:rFonts w:eastAsia="Calibri"/>
                <w:u w:val="single"/>
              </w:rPr>
              <w:t>№</w:t>
            </w:r>
            <w:r w:rsidR="00334DF4">
              <w:rPr>
                <w:rFonts w:eastAsia="Calibri"/>
                <w:u w:val="single"/>
              </w:rPr>
              <w:t>115</w:t>
            </w:r>
            <w:r w:rsidR="000B5210" w:rsidRPr="001F1CE2">
              <w:rPr>
                <w:rFonts w:eastAsia="Calibri"/>
                <w:u w:val="single"/>
              </w:rPr>
              <w:t>/</w:t>
            </w:r>
            <w:r w:rsidR="00554B3A" w:rsidRPr="001F1CE2">
              <w:rPr>
                <w:rFonts w:eastAsia="Calibri"/>
                <w:u w:val="single"/>
              </w:rPr>
              <w:t>2</w:t>
            </w:r>
            <w:r w:rsidR="00334DF4">
              <w:rPr>
                <w:rFonts w:eastAsia="Calibri"/>
                <w:u w:val="single"/>
              </w:rPr>
              <w:t>1</w:t>
            </w:r>
            <w:r w:rsidR="00485A7C" w:rsidRPr="001F1CE2">
              <w:rPr>
                <w:rFonts w:eastAsia="Calibri"/>
                <w:u w:val="single"/>
              </w:rPr>
              <w:t>-</w:t>
            </w:r>
            <w:r w:rsidR="00554B3A" w:rsidRPr="001F1CE2">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D7621" w:rsidRDefault="000B5210" w:rsidP="00AE1E59">
      <w:pPr>
        <w:ind w:right="650" w:firstLine="709"/>
        <w:jc w:val="both"/>
        <w:rPr>
          <w:color w:val="000000" w:themeColor="text1"/>
        </w:rPr>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иску </w:t>
      </w:r>
      <w:r w:rsidR="00FD7621">
        <w:t>ООО «</w:t>
      </w:r>
      <w:proofErr w:type="spellStart"/>
      <w:r w:rsidR="00334DF4">
        <w:t>Интэкс</w:t>
      </w:r>
      <w:proofErr w:type="spellEnd"/>
      <w:r w:rsidR="00FD7621">
        <w:t>» (г</w:t>
      </w:r>
      <w:proofErr w:type="gramStart"/>
      <w:r w:rsidR="00FD7621">
        <w:t>.</w:t>
      </w:r>
      <w:r w:rsidR="00334DF4">
        <w:t>Т</w:t>
      </w:r>
      <w:proofErr w:type="gramEnd"/>
      <w:r w:rsidR="00334DF4">
        <w:t>ирасполь ул.К.Либкнехта 150/7</w:t>
      </w:r>
      <w:r w:rsidR="00FD7621">
        <w:t>) к ООО «</w:t>
      </w:r>
      <w:r w:rsidR="00334DF4">
        <w:t>Протягайловские колбасы</w:t>
      </w:r>
      <w:r w:rsidR="00FD7621">
        <w:t>» (г.</w:t>
      </w:r>
      <w:r w:rsidR="00334DF4">
        <w:t>Бендеры с.Протягайловка пер.Первомайский д.2-г</w:t>
      </w:r>
      <w:r w:rsidR="00FD7621">
        <w:t>) о взыскании задолженности</w:t>
      </w:r>
      <w:r w:rsidR="00FD7621">
        <w:rPr>
          <w:color w:val="000000" w:themeColor="text1"/>
        </w:rPr>
        <w:t>,</w:t>
      </w:r>
    </w:p>
    <w:p w:rsidR="00B53400" w:rsidRDefault="006A5E49" w:rsidP="00AE1E59">
      <w:pPr>
        <w:ind w:right="650" w:firstLine="709"/>
        <w:jc w:val="both"/>
      </w:pPr>
      <w:r w:rsidRPr="006F1DF0">
        <w:t xml:space="preserve">при участии </w:t>
      </w:r>
      <w:r w:rsidR="00940716">
        <w:t xml:space="preserve">в судебном заседании </w:t>
      </w:r>
      <w:r w:rsidRPr="006F1DF0">
        <w:t xml:space="preserve">представителя </w:t>
      </w:r>
      <w:r w:rsidR="00DF4C6A">
        <w:t>истца</w:t>
      </w:r>
      <w:r w:rsidR="003715A0">
        <w:t xml:space="preserve"> </w:t>
      </w:r>
      <w:r w:rsidR="00334DF4">
        <w:t>Сорокиной Н.И.</w:t>
      </w:r>
      <w:r w:rsidR="0042556E">
        <w:t xml:space="preserve"> </w:t>
      </w:r>
      <w:r w:rsidR="00195257">
        <w:t xml:space="preserve">по </w:t>
      </w:r>
      <w:r w:rsidR="00F91EE1">
        <w:t xml:space="preserve">доверенности от </w:t>
      </w:r>
      <w:r w:rsidR="00334DF4">
        <w:t xml:space="preserve">23 марта 2021г., представителя ответчика </w:t>
      </w:r>
      <w:proofErr w:type="spellStart"/>
      <w:r w:rsidR="00334DF4">
        <w:t>Шершаел</w:t>
      </w:r>
      <w:proofErr w:type="spellEnd"/>
      <w:r w:rsidR="00334DF4">
        <w:t xml:space="preserve"> Т.А. по доверенности №69 от 22 марта 2021г.</w:t>
      </w:r>
    </w:p>
    <w:p w:rsidR="00503476" w:rsidRPr="00531BFC" w:rsidRDefault="00503476" w:rsidP="00DD74ED">
      <w:pPr>
        <w:ind w:right="650"/>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1F1CE2" w:rsidRDefault="001F1CE2" w:rsidP="003715A0">
      <w:pPr>
        <w:ind w:right="650" w:firstLine="709"/>
        <w:jc w:val="both"/>
        <w:rPr>
          <w:color w:val="000000"/>
        </w:rPr>
      </w:pPr>
    </w:p>
    <w:p w:rsidR="001F1CE2" w:rsidRDefault="001F1CE2" w:rsidP="003715A0">
      <w:pPr>
        <w:ind w:right="650" w:firstLine="709"/>
        <w:jc w:val="both"/>
        <w:rPr>
          <w:color w:val="000000"/>
        </w:rPr>
      </w:pPr>
      <w:r>
        <w:t>ООО «</w:t>
      </w:r>
      <w:proofErr w:type="spellStart"/>
      <w:r w:rsidR="00C72214">
        <w:t>Интэкс</w:t>
      </w:r>
      <w:proofErr w:type="spellEnd"/>
      <w:r>
        <w:t xml:space="preserve">» </w:t>
      </w:r>
      <w:r>
        <w:rPr>
          <w:color w:val="000000"/>
        </w:rPr>
        <w:t xml:space="preserve">обратилось в Арбитражный суд </w:t>
      </w:r>
      <w:r>
        <w:t>Приднестровской Молдавской Республики</w:t>
      </w:r>
      <w:r>
        <w:rPr>
          <w:color w:val="000000"/>
        </w:rPr>
        <w:t xml:space="preserve"> с иском </w:t>
      </w:r>
      <w:r>
        <w:t>к ООО «</w:t>
      </w:r>
      <w:r w:rsidR="00C72214">
        <w:t>Протягайловские колбасы» о взыскании задолженности</w:t>
      </w:r>
      <w:r>
        <w:t>.</w:t>
      </w:r>
    </w:p>
    <w:p w:rsidR="00554B3A" w:rsidRPr="00DD30D9" w:rsidRDefault="00554B3A" w:rsidP="00AE1E59">
      <w:pPr>
        <w:ind w:right="650" w:firstLine="709"/>
        <w:jc w:val="both"/>
      </w:pPr>
      <w:r w:rsidRPr="00DD30D9">
        <w:t xml:space="preserve">Определением суда от </w:t>
      </w:r>
      <w:r w:rsidR="00C72214">
        <w:t>10.03</w:t>
      </w:r>
      <w:r w:rsidR="001F1CE2">
        <w:t>.</w:t>
      </w:r>
      <w:r w:rsidRPr="00DD30D9">
        <w:t>202</w:t>
      </w:r>
      <w:r w:rsidR="00C72214">
        <w:t>1</w:t>
      </w:r>
      <w:r w:rsidRPr="00DD30D9">
        <w:t xml:space="preserve"> года</w:t>
      </w:r>
      <w:r w:rsidR="00DF4C6A" w:rsidRPr="00DD30D9">
        <w:t xml:space="preserve"> исковое</w:t>
      </w:r>
      <w:r w:rsidRPr="00DD30D9">
        <w:t xml:space="preserve"> заявление</w:t>
      </w:r>
      <w:r w:rsidR="00C72214">
        <w:t xml:space="preserve"> </w:t>
      </w:r>
      <w:r w:rsidRPr="00DD30D9">
        <w:t xml:space="preserve">принято к производству и дело назначено к судебному разбирательству на </w:t>
      </w:r>
      <w:r w:rsidR="00C72214">
        <w:t>24.03</w:t>
      </w:r>
      <w:r w:rsidR="001F1CE2">
        <w:t>.</w:t>
      </w:r>
      <w:r w:rsidR="00C72214">
        <w:t>2021</w:t>
      </w:r>
      <w:r w:rsidRPr="00DD30D9">
        <w:t xml:space="preserve"> года. </w:t>
      </w:r>
    </w:p>
    <w:p w:rsidR="00195257" w:rsidRDefault="00791858" w:rsidP="00E25672">
      <w:pPr>
        <w:ind w:right="650" w:firstLine="709"/>
        <w:jc w:val="both"/>
        <w:rPr>
          <w:color w:val="000000" w:themeColor="text1"/>
        </w:rPr>
      </w:pPr>
      <w:r w:rsidRPr="00DD30D9">
        <w:t xml:space="preserve">В </w:t>
      </w:r>
      <w:r w:rsidRPr="00531C13">
        <w:rPr>
          <w:color w:val="000000" w:themeColor="text1"/>
        </w:rPr>
        <w:t>состоявше</w:t>
      </w:r>
      <w:r w:rsidR="001C1291" w:rsidRPr="00531C13">
        <w:rPr>
          <w:color w:val="000000" w:themeColor="text1"/>
        </w:rPr>
        <w:t>м</w:t>
      </w:r>
      <w:r w:rsidRPr="00531C13">
        <w:rPr>
          <w:color w:val="000000" w:themeColor="text1"/>
        </w:rPr>
        <w:t xml:space="preserve">ся в назначенное время </w:t>
      </w:r>
      <w:r w:rsidR="00D65134" w:rsidRPr="00531C13">
        <w:rPr>
          <w:color w:val="000000" w:themeColor="text1"/>
        </w:rPr>
        <w:t>судебно</w:t>
      </w:r>
      <w:r w:rsidR="001C1291" w:rsidRPr="00531C13">
        <w:rPr>
          <w:color w:val="000000" w:themeColor="text1"/>
        </w:rPr>
        <w:t>м</w:t>
      </w:r>
      <w:r w:rsidR="00D65134" w:rsidRPr="00531C13">
        <w:rPr>
          <w:color w:val="000000" w:themeColor="text1"/>
        </w:rPr>
        <w:t xml:space="preserve"> </w:t>
      </w:r>
      <w:r w:rsidR="003715A0" w:rsidRPr="00531C13">
        <w:rPr>
          <w:color w:val="000000" w:themeColor="text1"/>
        </w:rPr>
        <w:t>заседани</w:t>
      </w:r>
      <w:r w:rsidR="001C1291" w:rsidRPr="00531C13">
        <w:rPr>
          <w:color w:val="000000" w:themeColor="text1"/>
        </w:rPr>
        <w:t>и</w:t>
      </w:r>
      <w:r w:rsidR="003715A0" w:rsidRPr="00531C13">
        <w:rPr>
          <w:color w:val="000000" w:themeColor="text1"/>
        </w:rPr>
        <w:t xml:space="preserve"> </w:t>
      </w:r>
      <w:r w:rsidR="00E25672" w:rsidRPr="00531C13">
        <w:rPr>
          <w:color w:val="000000" w:themeColor="text1"/>
        </w:rPr>
        <w:t>заслуш</w:t>
      </w:r>
      <w:r w:rsidR="001C1291" w:rsidRPr="00531C13">
        <w:rPr>
          <w:color w:val="000000" w:themeColor="text1"/>
        </w:rPr>
        <w:t>аны</w:t>
      </w:r>
      <w:r w:rsidR="00E25672" w:rsidRPr="00531C13">
        <w:rPr>
          <w:color w:val="000000" w:themeColor="text1"/>
        </w:rPr>
        <w:t xml:space="preserve"> пояснени</w:t>
      </w:r>
      <w:r w:rsidR="001C1291" w:rsidRPr="00531C13">
        <w:rPr>
          <w:color w:val="000000" w:themeColor="text1"/>
        </w:rPr>
        <w:t>я сторон</w:t>
      </w:r>
      <w:r w:rsidR="003715A0" w:rsidRPr="00531C13">
        <w:rPr>
          <w:color w:val="000000" w:themeColor="text1"/>
        </w:rPr>
        <w:t>,</w:t>
      </w:r>
      <w:r w:rsidR="001C1291" w:rsidRPr="00531C13">
        <w:rPr>
          <w:color w:val="000000" w:themeColor="text1"/>
        </w:rPr>
        <w:t xml:space="preserve"> приобщены документы, после чего</w:t>
      </w:r>
      <w:r w:rsidR="00E25672" w:rsidRPr="00531C13">
        <w:rPr>
          <w:color w:val="000000" w:themeColor="text1"/>
        </w:rPr>
        <w:t xml:space="preserve"> </w:t>
      </w:r>
      <w:r w:rsidR="00195257" w:rsidRPr="00531C13">
        <w:rPr>
          <w:color w:val="000000" w:themeColor="text1"/>
        </w:rPr>
        <w:t>представитель истца заявил ходатайство об отложении рассмотрения дела для предоставления дополнительных дока</w:t>
      </w:r>
      <w:r w:rsidR="00D65600" w:rsidRPr="00531C13">
        <w:rPr>
          <w:color w:val="000000" w:themeColor="text1"/>
        </w:rPr>
        <w:t>зательств</w:t>
      </w:r>
      <w:r w:rsidR="00503476" w:rsidRPr="00531C13">
        <w:rPr>
          <w:color w:val="000000" w:themeColor="text1"/>
        </w:rPr>
        <w:t>.</w:t>
      </w:r>
      <w:r w:rsidR="00195257" w:rsidRPr="00531C13">
        <w:rPr>
          <w:color w:val="000000" w:themeColor="text1"/>
        </w:rPr>
        <w:t xml:space="preserve"> </w:t>
      </w:r>
    </w:p>
    <w:p w:rsidR="00434FF3" w:rsidRPr="00531C13" w:rsidRDefault="00434FF3" w:rsidP="00E25672">
      <w:pPr>
        <w:ind w:right="650" w:firstLine="709"/>
        <w:jc w:val="both"/>
        <w:rPr>
          <w:color w:val="000000" w:themeColor="text1"/>
        </w:rPr>
      </w:pPr>
      <w:r>
        <w:rPr>
          <w:color w:val="000000" w:themeColor="text1"/>
        </w:rPr>
        <w:t>Представитель ответчика вопрос об отложении рассмотрения дела оставил на усмотрение суда.</w:t>
      </w:r>
    </w:p>
    <w:p w:rsidR="002D6295" w:rsidRPr="00531C13" w:rsidRDefault="002D6295" w:rsidP="008F4F8B">
      <w:pPr>
        <w:ind w:right="650" w:firstLine="709"/>
        <w:jc w:val="both"/>
        <w:rPr>
          <w:color w:val="000000" w:themeColor="text1"/>
        </w:rPr>
      </w:pPr>
      <w:r w:rsidRPr="00531C13">
        <w:rPr>
          <w:color w:val="000000" w:themeColor="text1"/>
        </w:rPr>
        <w:t>Статьей 25 АПК ПМР регламентировано право лиц, участвующих в деле  представлять доказательства.</w:t>
      </w:r>
    </w:p>
    <w:p w:rsidR="008F4F8B" w:rsidRPr="00531C13" w:rsidRDefault="007305B2" w:rsidP="008F4F8B">
      <w:pPr>
        <w:ind w:right="650" w:firstLine="709"/>
        <w:jc w:val="both"/>
        <w:rPr>
          <w:color w:val="000000" w:themeColor="text1"/>
        </w:rPr>
      </w:pPr>
      <w:r w:rsidRPr="00531C13">
        <w:rPr>
          <w:color w:val="000000" w:themeColor="text1"/>
        </w:rPr>
        <w:t>В</w:t>
      </w:r>
      <w:r w:rsidR="003715A0" w:rsidRPr="00531C13">
        <w:rPr>
          <w:color w:val="000000" w:themeColor="text1"/>
        </w:rPr>
        <w:t xml:space="preserve"> соответствии с п.1 ст.109 АПК ПМР</w:t>
      </w:r>
      <w:r w:rsidRPr="00531C13">
        <w:rPr>
          <w:color w:val="000000" w:themeColor="text1"/>
        </w:rPr>
        <w:t xml:space="preserve"> Арбитражный суд</w:t>
      </w:r>
      <w:r w:rsidR="003715A0" w:rsidRPr="00531C13">
        <w:rPr>
          <w:color w:val="000000" w:themeColor="text1"/>
        </w:rPr>
        <w:t xml:space="preserve"> </w:t>
      </w:r>
      <w:r w:rsidR="008F4F8B" w:rsidRPr="00531C13">
        <w:rPr>
          <w:color w:val="000000" w:themeColor="text1"/>
        </w:rPr>
        <w:t>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BF7322" w:rsidRDefault="00B7249F" w:rsidP="00503476">
      <w:pPr>
        <w:ind w:right="650" w:firstLine="709"/>
        <w:jc w:val="both"/>
      </w:pPr>
      <w:r w:rsidRPr="00531C13">
        <w:rPr>
          <w:color w:val="000000" w:themeColor="text1"/>
        </w:rPr>
        <w:t>Учитывая закрепленн</w:t>
      </w:r>
      <w:r w:rsidR="002D6295" w:rsidRPr="00531C13">
        <w:rPr>
          <w:color w:val="000000" w:themeColor="text1"/>
        </w:rPr>
        <w:t>ы</w:t>
      </w:r>
      <w:r w:rsidRPr="00531C13">
        <w:rPr>
          <w:color w:val="000000" w:themeColor="text1"/>
        </w:rPr>
        <w:t>е в приведенн</w:t>
      </w:r>
      <w:r w:rsidR="00503476" w:rsidRPr="00531C13">
        <w:rPr>
          <w:color w:val="000000" w:themeColor="text1"/>
        </w:rPr>
        <w:t>ой</w:t>
      </w:r>
      <w:r w:rsidRPr="00531C13">
        <w:rPr>
          <w:color w:val="000000" w:themeColor="text1"/>
        </w:rPr>
        <w:t xml:space="preserve"> норм</w:t>
      </w:r>
      <w:r w:rsidR="00503476" w:rsidRPr="00531C13">
        <w:rPr>
          <w:color w:val="000000" w:themeColor="text1"/>
        </w:rPr>
        <w:t>е</w:t>
      </w:r>
      <w:r w:rsidRPr="00531C13">
        <w:rPr>
          <w:color w:val="000000" w:themeColor="text1"/>
        </w:rPr>
        <w:t xml:space="preserve"> арбитражного процессуального закона</w:t>
      </w:r>
      <w:r w:rsidR="002D6295" w:rsidRPr="00531C13">
        <w:rPr>
          <w:color w:val="000000" w:themeColor="text1"/>
        </w:rPr>
        <w:t xml:space="preserve"> права </w:t>
      </w:r>
      <w:r w:rsidR="0042556E" w:rsidRPr="00531C13">
        <w:rPr>
          <w:color w:val="000000" w:themeColor="text1"/>
        </w:rPr>
        <w:t>истца</w:t>
      </w:r>
      <w:r w:rsidRPr="00531C13">
        <w:rPr>
          <w:color w:val="000000" w:themeColor="text1"/>
        </w:rPr>
        <w:t xml:space="preserve">, </w:t>
      </w:r>
      <w:r w:rsidR="00531C13">
        <w:rPr>
          <w:color w:val="000000" w:themeColor="text1"/>
        </w:rPr>
        <w:t>невозможность рассмотрения дела и</w:t>
      </w:r>
      <w:r w:rsidR="00531C13" w:rsidRPr="003715A0">
        <w:t xml:space="preserve"> всестороннего</w:t>
      </w:r>
      <w:r w:rsidR="00531C13">
        <w:t xml:space="preserve"> </w:t>
      </w:r>
      <w:r w:rsidR="00531C13" w:rsidRPr="003715A0">
        <w:t xml:space="preserve">исследования обстоятельств дела </w:t>
      </w:r>
      <w:r w:rsidR="00531C13">
        <w:rPr>
          <w:color w:val="000000" w:themeColor="text1"/>
        </w:rPr>
        <w:t xml:space="preserve">без исследования </w:t>
      </w:r>
      <w:r w:rsidR="003715A0" w:rsidRPr="003715A0">
        <w:t>дополнительных доказательств</w:t>
      </w:r>
      <w:r w:rsidR="00531C13">
        <w:t>,</w:t>
      </w:r>
      <w:r w:rsidR="003715A0" w:rsidRPr="003715A0">
        <w:t xml:space="preserve"> </w:t>
      </w:r>
      <w:r w:rsidR="00BF7322" w:rsidRPr="003715A0">
        <w:t xml:space="preserve">Арбитражный суд Приднестровской Молдавской Республики, руководствуясь статьями </w:t>
      </w:r>
      <w:r w:rsidR="00F13710" w:rsidRPr="003715A0">
        <w:t>25,</w:t>
      </w:r>
      <w:r w:rsidR="00CC4AE1">
        <w:t xml:space="preserve"> </w:t>
      </w:r>
      <w:r w:rsidR="00BD306D" w:rsidRPr="003715A0">
        <w:t>107,</w:t>
      </w:r>
      <w:r w:rsidR="00CC4AE1">
        <w:t xml:space="preserve"> </w:t>
      </w:r>
      <w:r w:rsidR="00BF7322" w:rsidRPr="003715A0">
        <w:t>109,</w:t>
      </w:r>
      <w:r w:rsidR="00CC4AE1">
        <w:t xml:space="preserve"> </w:t>
      </w:r>
      <w:r w:rsidR="00BF7322" w:rsidRPr="003715A0">
        <w:t>128 Арбитражного процессуального кодекса</w:t>
      </w:r>
      <w:r w:rsidR="00BF7322" w:rsidRPr="00503476">
        <w:t xml:space="preserve"> Приднестровской Молдавской Республики, </w:t>
      </w:r>
    </w:p>
    <w:p w:rsidR="003715A0" w:rsidRDefault="003715A0" w:rsidP="00503476">
      <w:pPr>
        <w:ind w:right="650" w:firstLine="709"/>
        <w:jc w:val="both"/>
      </w:pPr>
    </w:p>
    <w:p w:rsidR="007305B2" w:rsidRDefault="007305B2" w:rsidP="00B7249F">
      <w:pPr>
        <w:tabs>
          <w:tab w:val="left" w:pos="284"/>
        </w:tabs>
        <w:ind w:left="567" w:firstLine="567"/>
        <w:jc w:val="center"/>
        <w:rPr>
          <w:b/>
        </w:rPr>
      </w:pPr>
    </w:p>
    <w:p w:rsidR="00CE16E5" w:rsidRDefault="00CE16E5"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t xml:space="preserve">О </w:t>
      </w:r>
      <w:proofErr w:type="gramStart"/>
      <w:r>
        <w:rPr>
          <w:b/>
        </w:rPr>
        <w:t>П</w:t>
      </w:r>
      <w:proofErr w:type="gramEnd"/>
      <w:r>
        <w:rPr>
          <w:b/>
        </w:rPr>
        <w:t xml:space="preserve">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Отложить рассмотрение дела №</w:t>
      </w:r>
      <w:r w:rsidR="00CC4AE1">
        <w:rPr>
          <w:color w:val="000000" w:themeColor="text1"/>
        </w:rPr>
        <w:t>115</w:t>
      </w:r>
      <w:r w:rsidRPr="00E87E1C">
        <w:rPr>
          <w:color w:val="000000" w:themeColor="text1"/>
        </w:rPr>
        <w:t>/2</w:t>
      </w:r>
      <w:r w:rsidR="00CC4AE1">
        <w:rPr>
          <w:color w:val="000000" w:themeColor="text1"/>
        </w:rPr>
        <w:t>1</w:t>
      </w:r>
      <w:r w:rsidRPr="00E87E1C">
        <w:rPr>
          <w:color w:val="000000" w:themeColor="text1"/>
        </w:rPr>
        <w:t>-02</w:t>
      </w:r>
      <w:r w:rsidR="00E87E1C" w:rsidRPr="00E87E1C">
        <w:rPr>
          <w:color w:val="000000" w:themeColor="text1"/>
        </w:rPr>
        <w:t xml:space="preserve">  </w:t>
      </w:r>
      <w:r w:rsidRPr="00781009">
        <w:rPr>
          <w:color w:val="000000" w:themeColor="text1"/>
        </w:rPr>
        <w:t xml:space="preserve">на </w:t>
      </w:r>
      <w:r w:rsidR="00CC4AE1">
        <w:rPr>
          <w:b/>
          <w:color w:val="000000" w:themeColor="text1"/>
        </w:rPr>
        <w:t>09</w:t>
      </w:r>
      <w:r w:rsidR="001F1CE2">
        <w:rPr>
          <w:b/>
          <w:color w:val="000000" w:themeColor="text1"/>
        </w:rPr>
        <w:t xml:space="preserve"> </w:t>
      </w:r>
      <w:r w:rsidR="00CC4AE1">
        <w:rPr>
          <w:b/>
          <w:color w:val="000000" w:themeColor="text1"/>
        </w:rPr>
        <w:t>апре</w:t>
      </w:r>
      <w:r w:rsidR="001F1CE2">
        <w:rPr>
          <w:b/>
          <w:color w:val="000000" w:themeColor="text1"/>
        </w:rPr>
        <w:t>ля</w:t>
      </w:r>
      <w:r w:rsidR="00612F4D" w:rsidRPr="00781009">
        <w:rPr>
          <w:b/>
          <w:color w:val="000000" w:themeColor="text1"/>
        </w:rPr>
        <w:t xml:space="preserve"> </w:t>
      </w:r>
      <w:r w:rsidRPr="00781009">
        <w:rPr>
          <w:b/>
          <w:color w:val="000000" w:themeColor="text1"/>
        </w:rPr>
        <w:t>202</w:t>
      </w:r>
      <w:r w:rsidR="00CC4AE1">
        <w:rPr>
          <w:b/>
          <w:color w:val="000000" w:themeColor="text1"/>
        </w:rPr>
        <w:t>1</w:t>
      </w:r>
      <w:r w:rsidRPr="00781009">
        <w:rPr>
          <w:b/>
          <w:color w:val="000000" w:themeColor="text1"/>
        </w:rPr>
        <w:t xml:space="preserve"> года</w:t>
      </w:r>
      <w:r w:rsidR="00CC4AE1">
        <w:rPr>
          <w:color w:val="000000" w:themeColor="text1"/>
        </w:rPr>
        <w:t xml:space="preserve"> на</w:t>
      </w:r>
      <w:r w:rsidR="00D65600">
        <w:rPr>
          <w:color w:val="000000" w:themeColor="text1"/>
        </w:rPr>
        <w:t xml:space="preserve"> </w:t>
      </w:r>
      <w:r w:rsidR="00CC4AE1">
        <w:rPr>
          <w:b/>
          <w:color w:val="000000" w:themeColor="text1"/>
        </w:rPr>
        <w:t>10</w:t>
      </w:r>
      <w:r w:rsidR="00F13710" w:rsidRPr="00F13710">
        <w:rPr>
          <w:b/>
          <w:color w:val="000000" w:themeColor="text1"/>
        </w:rPr>
        <w:t>.</w:t>
      </w:r>
      <w:r w:rsidR="001F1CE2">
        <w:rPr>
          <w:b/>
          <w:color w:val="000000" w:themeColor="text1"/>
        </w:rPr>
        <w:t>0</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214" w:rsidRDefault="00C72214" w:rsidP="00747910">
      <w:r>
        <w:separator/>
      </w:r>
    </w:p>
  </w:endnote>
  <w:endnote w:type="continuationSeparator" w:id="1">
    <w:p w:rsidR="00C72214" w:rsidRDefault="00C7221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14" w:rsidRPr="00081B5A" w:rsidRDefault="00C72214" w:rsidP="00804CD8">
    <w:pPr>
      <w:pStyle w:val="a7"/>
      <w:rPr>
        <w:sz w:val="16"/>
        <w:szCs w:val="16"/>
      </w:rPr>
    </w:pPr>
    <w:r>
      <w:rPr>
        <w:sz w:val="16"/>
        <w:szCs w:val="16"/>
      </w:rPr>
      <w:t>Форма  № Ф-1</w:t>
    </w:r>
  </w:p>
  <w:p w:rsidR="00C72214" w:rsidRPr="00747910" w:rsidRDefault="00C72214"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C72214" w:rsidRDefault="00C72214" w:rsidP="00804CD8">
    <w:pPr>
      <w:pStyle w:val="a7"/>
    </w:pPr>
  </w:p>
  <w:p w:rsidR="00C72214" w:rsidRDefault="00BF6C50">
    <w:pPr>
      <w:pStyle w:val="a7"/>
      <w:jc w:val="right"/>
    </w:pPr>
    <w:fldSimple w:instr=" PAGE   \* MERGEFORMAT ">
      <w:r w:rsidR="005F3D28">
        <w:rPr>
          <w:noProof/>
        </w:rPr>
        <w:t>2</w:t>
      </w:r>
    </w:fldSimple>
  </w:p>
  <w:p w:rsidR="00C72214" w:rsidRDefault="00C722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214" w:rsidRDefault="00C72214" w:rsidP="00747910">
      <w:r>
        <w:separator/>
      </w:r>
    </w:p>
  </w:footnote>
  <w:footnote w:type="continuationSeparator" w:id="1">
    <w:p w:rsidR="00C72214" w:rsidRDefault="00C7221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49153"/>
  </w:hdrShapeDefaults>
  <w:footnotePr>
    <w:footnote w:id="0"/>
    <w:footnote w:id="1"/>
  </w:footnotePr>
  <w:endnotePr>
    <w:endnote w:id="0"/>
    <w:endnote w:id="1"/>
  </w:endnotePr>
  <w:compat/>
  <w:rsids>
    <w:rsidRoot w:val="000C4195"/>
    <w:rsid w:val="000126C2"/>
    <w:rsid w:val="000400F3"/>
    <w:rsid w:val="00043CF5"/>
    <w:rsid w:val="00063D04"/>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291"/>
    <w:rsid w:val="001C1B4F"/>
    <w:rsid w:val="001D3D23"/>
    <w:rsid w:val="001E45FA"/>
    <w:rsid w:val="001F1CE2"/>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34DF4"/>
    <w:rsid w:val="003558DC"/>
    <w:rsid w:val="00365A17"/>
    <w:rsid w:val="003715A0"/>
    <w:rsid w:val="00381CF3"/>
    <w:rsid w:val="003A617A"/>
    <w:rsid w:val="003B6264"/>
    <w:rsid w:val="003C0922"/>
    <w:rsid w:val="00424065"/>
    <w:rsid w:val="0042556E"/>
    <w:rsid w:val="00434FF3"/>
    <w:rsid w:val="00435D1A"/>
    <w:rsid w:val="00437FF4"/>
    <w:rsid w:val="00444EB1"/>
    <w:rsid w:val="0045590A"/>
    <w:rsid w:val="00462D10"/>
    <w:rsid w:val="00474C10"/>
    <w:rsid w:val="00485A7C"/>
    <w:rsid w:val="004A01C7"/>
    <w:rsid w:val="004B0F41"/>
    <w:rsid w:val="004C56EA"/>
    <w:rsid w:val="004C701C"/>
    <w:rsid w:val="004E7329"/>
    <w:rsid w:val="004F7B6D"/>
    <w:rsid w:val="00503476"/>
    <w:rsid w:val="005043B3"/>
    <w:rsid w:val="0051667D"/>
    <w:rsid w:val="00531BFC"/>
    <w:rsid w:val="00531C13"/>
    <w:rsid w:val="00533BE1"/>
    <w:rsid w:val="00554B3A"/>
    <w:rsid w:val="0056037D"/>
    <w:rsid w:val="00577638"/>
    <w:rsid w:val="005A6736"/>
    <w:rsid w:val="005F3D28"/>
    <w:rsid w:val="00605EA7"/>
    <w:rsid w:val="00612F4D"/>
    <w:rsid w:val="006478E4"/>
    <w:rsid w:val="00694E57"/>
    <w:rsid w:val="006976EB"/>
    <w:rsid w:val="006A5E49"/>
    <w:rsid w:val="006C6D2B"/>
    <w:rsid w:val="006E570D"/>
    <w:rsid w:val="006F1DF0"/>
    <w:rsid w:val="00710036"/>
    <w:rsid w:val="00717526"/>
    <w:rsid w:val="007305B2"/>
    <w:rsid w:val="00746764"/>
    <w:rsid w:val="00747910"/>
    <w:rsid w:val="00750035"/>
    <w:rsid w:val="0075091C"/>
    <w:rsid w:val="0078061E"/>
    <w:rsid w:val="00781009"/>
    <w:rsid w:val="00791858"/>
    <w:rsid w:val="007A51C3"/>
    <w:rsid w:val="007B0725"/>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0716"/>
    <w:rsid w:val="00991594"/>
    <w:rsid w:val="00991CBB"/>
    <w:rsid w:val="00997222"/>
    <w:rsid w:val="009977D8"/>
    <w:rsid w:val="009B1FD7"/>
    <w:rsid w:val="009B5C25"/>
    <w:rsid w:val="009B61B4"/>
    <w:rsid w:val="009F37CE"/>
    <w:rsid w:val="00A032B6"/>
    <w:rsid w:val="00A246E5"/>
    <w:rsid w:val="00A33535"/>
    <w:rsid w:val="00A33AB0"/>
    <w:rsid w:val="00A42F10"/>
    <w:rsid w:val="00A45BF9"/>
    <w:rsid w:val="00A654E1"/>
    <w:rsid w:val="00A80E5C"/>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6C50"/>
    <w:rsid w:val="00BF7322"/>
    <w:rsid w:val="00C3734A"/>
    <w:rsid w:val="00C43442"/>
    <w:rsid w:val="00C4443F"/>
    <w:rsid w:val="00C502E5"/>
    <w:rsid w:val="00C518EB"/>
    <w:rsid w:val="00C52E1E"/>
    <w:rsid w:val="00C5718C"/>
    <w:rsid w:val="00C72214"/>
    <w:rsid w:val="00C77370"/>
    <w:rsid w:val="00C849F3"/>
    <w:rsid w:val="00CA1791"/>
    <w:rsid w:val="00CC4AE1"/>
    <w:rsid w:val="00CC555F"/>
    <w:rsid w:val="00CD637D"/>
    <w:rsid w:val="00CE16E5"/>
    <w:rsid w:val="00CF4DCA"/>
    <w:rsid w:val="00D0688E"/>
    <w:rsid w:val="00D2564A"/>
    <w:rsid w:val="00D65134"/>
    <w:rsid w:val="00D65600"/>
    <w:rsid w:val="00D726D4"/>
    <w:rsid w:val="00D90A20"/>
    <w:rsid w:val="00D91998"/>
    <w:rsid w:val="00D96E34"/>
    <w:rsid w:val="00DA6EC0"/>
    <w:rsid w:val="00DD30D9"/>
    <w:rsid w:val="00DD74ED"/>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4D2D"/>
    <w:rsid w:val="00F253A2"/>
    <w:rsid w:val="00F354AA"/>
    <w:rsid w:val="00F64381"/>
    <w:rsid w:val="00F72C4D"/>
    <w:rsid w:val="00F91EE1"/>
    <w:rsid w:val="00FA6E55"/>
    <w:rsid w:val="00FB599A"/>
    <w:rsid w:val="00FD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320</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2020-07-10T08:04:00Z</cp:lastPrinted>
  <dcterms:created xsi:type="dcterms:W3CDTF">2020-07-10T07:58:00Z</dcterms:created>
  <dcterms:modified xsi:type="dcterms:W3CDTF">2021-03-25T07:52:00Z</dcterms:modified>
</cp:coreProperties>
</file>