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4F28C1" w:rsidRDefault="004F28C1" w:rsidP="008D390E">
      <w:pPr>
        <w:ind w:left="5529"/>
      </w:pPr>
      <w:r>
        <w:t>Служб</w:t>
      </w:r>
      <w:r w:rsidR="0072022C">
        <w:t>е</w:t>
      </w:r>
      <w:r>
        <w:t xml:space="preserve"> государственного надзора Министерства юстиции ПМР </w:t>
      </w:r>
    </w:p>
    <w:p w:rsidR="00514FA5" w:rsidRDefault="004F28C1" w:rsidP="008D390E">
      <w:pPr>
        <w:ind w:left="5529"/>
      </w:pPr>
      <w:r>
        <w:t>(</w:t>
      </w:r>
      <w:proofErr w:type="gramStart"/>
      <w:r w:rsidRPr="00645048">
        <w:t>г</w:t>
      </w:r>
      <w:proofErr w:type="gramEnd"/>
      <w:r w:rsidRPr="00645048">
        <w:t>. Тирасполь, ул. Мира, 50</w:t>
      </w:r>
      <w:r>
        <w:t>)</w:t>
      </w:r>
    </w:p>
    <w:p w:rsidR="00CD0E95" w:rsidRDefault="00CD0E95" w:rsidP="008D390E">
      <w:pPr>
        <w:ind w:left="5529"/>
      </w:pPr>
    </w:p>
    <w:p w:rsidR="004F28C1" w:rsidRDefault="004F28C1" w:rsidP="008D390E">
      <w:pPr>
        <w:ind w:left="5529"/>
      </w:pPr>
      <w:r>
        <w:t>ООО «</w:t>
      </w:r>
      <w:proofErr w:type="spellStart"/>
      <w:r>
        <w:t>Лавсар</w:t>
      </w:r>
      <w:proofErr w:type="spellEnd"/>
      <w:r>
        <w:t>»</w:t>
      </w:r>
    </w:p>
    <w:p w:rsidR="00CB7796" w:rsidRDefault="004F28C1" w:rsidP="008D390E">
      <w:pPr>
        <w:ind w:left="5529"/>
      </w:pPr>
      <w:r>
        <w:t xml:space="preserve"> (</w:t>
      </w:r>
      <w:proofErr w:type="gramStart"/>
      <w:r w:rsidRPr="00DF49A6">
        <w:rPr>
          <w:color w:val="000000"/>
          <w:spacing w:val="-8"/>
        </w:rPr>
        <w:t>г</w:t>
      </w:r>
      <w:proofErr w:type="gramEnd"/>
      <w:r w:rsidRPr="00DF49A6">
        <w:rPr>
          <w:color w:val="000000"/>
          <w:spacing w:val="-8"/>
        </w:rPr>
        <w:t>. Тирасполь, ул. Ленина, 12</w:t>
      </w:r>
      <w:r>
        <w:t>)</w:t>
      </w:r>
    </w:p>
    <w:p w:rsidR="008D390E" w:rsidRDefault="008D390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4F28C1">
        <w:rPr>
          <w:b/>
        </w:rPr>
        <w:t>77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Pr="00CD0E95" w:rsidRDefault="00A67CE5" w:rsidP="00CD0E9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</w:t>
      </w:r>
      <w:r w:rsidR="00370BFD">
        <w:t xml:space="preserve"> что судебное заседание по делу</w:t>
      </w:r>
      <w:r>
        <w:t xml:space="preserve"> №</w:t>
      </w:r>
      <w:r w:rsidR="004F28C1">
        <w:t>77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4F28C1" w:rsidRPr="004F28C1">
        <w:t>Службы государственного н</w:t>
      </w:r>
      <w:r w:rsidR="004F28C1">
        <w:t xml:space="preserve">адзора Министерства юстиции ПМР о </w:t>
      </w:r>
      <w:r w:rsidR="004F28C1" w:rsidRPr="00482347">
        <w:t>привлечении к административной ответственности</w:t>
      </w:r>
      <w:r w:rsidR="00514FA5">
        <w:t xml:space="preserve"> </w:t>
      </w:r>
      <w:r w:rsidR="004F28C1" w:rsidRPr="004F28C1">
        <w:t>ООО «</w:t>
      </w:r>
      <w:proofErr w:type="spellStart"/>
      <w:r w:rsidR="004F28C1" w:rsidRPr="004F28C1">
        <w:t>Лавсар</w:t>
      </w:r>
      <w:proofErr w:type="spellEnd"/>
      <w:r w:rsidR="004F28C1" w:rsidRPr="004F28C1">
        <w:t>»</w:t>
      </w:r>
      <w:r w:rsidR="004F28C1">
        <w:t xml:space="preserve">, </w:t>
      </w:r>
      <w:r w:rsidR="00370BFD">
        <w:t xml:space="preserve">назначенное на </w:t>
      </w:r>
      <w:r w:rsidR="004F28C1" w:rsidRPr="004F28C1">
        <w:t>02 марта 2021 года в 10:30ч.</w:t>
      </w:r>
      <w:r w:rsidR="00033D6F">
        <w:t>,</w:t>
      </w:r>
      <w:r w:rsidR="00CD0E95">
        <w:t xml:space="preserve"> </w:t>
      </w:r>
      <w:r w:rsidR="00033D6F">
        <w:t xml:space="preserve">состоится  </w:t>
      </w:r>
      <w:r w:rsidR="00D6718F">
        <w:rPr>
          <w:b/>
        </w:rPr>
        <w:t>19 марта 2021 года в 10:0</w:t>
      </w:r>
      <w:r w:rsidR="00033D6F" w:rsidRPr="00033D6F">
        <w:rPr>
          <w:b/>
        </w:rPr>
        <w:t>0ч</w:t>
      </w:r>
      <w:r w:rsidR="00033D6F">
        <w:t>.</w:t>
      </w:r>
      <w:r w:rsidR="00033D6F" w:rsidRPr="00B77A9A">
        <w:t xml:space="preserve"> </w:t>
      </w:r>
      <w:r w:rsidRPr="00B77A9A">
        <w:t>в здании Арбитражного суда Приднестровской Молдавской Республики по адресу: г. Тирасполь, ул</w:t>
      </w:r>
      <w:proofErr w:type="gramEnd"/>
      <w:r w:rsidRPr="00B77A9A">
        <w:t xml:space="preserve">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="00033D6F">
        <w:t>.</w:t>
      </w:r>
    </w:p>
    <w:p w:rsidR="00033D6F" w:rsidRDefault="00033D6F" w:rsidP="00033D6F">
      <w:pPr>
        <w:ind w:firstLine="709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Участникам необходимо обеспечить явку представителей в судебное заседание.</w:t>
      </w:r>
    </w:p>
    <w:p w:rsidR="00CA726F" w:rsidRDefault="00CA726F" w:rsidP="00D01C33">
      <w:pPr>
        <w:ind w:firstLine="709"/>
        <w:jc w:val="both"/>
        <w:rPr>
          <w:b/>
        </w:rPr>
      </w:pPr>
    </w:p>
    <w:p w:rsidR="004F28C1" w:rsidRDefault="004F28C1" w:rsidP="00D01C33">
      <w:pPr>
        <w:ind w:firstLine="709"/>
        <w:jc w:val="both"/>
        <w:rPr>
          <w:b/>
        </w:rPr>
      </w:pPr>
    </w:p>
    <w:p w:rsidR="004F28C1" w:rsidRPr="00B77A9A" w:rsidRDefault="004F28C1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082DF7">
        <w:rPr>
          <w:b/>
        </w:rPr>
        <w:t xml:space="preserve">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33D6F"/>
    <w:rsid w:val="00081B49"/>
    <w:rsid w:val="00082DF7"/>
    <w:rsid w:val="0009181C"/>
    <w:rsid w:val="000C4100"/>
    <w:rsid w:val="000D4C4F"/>
    <w:rsid w:val="001B718B"/>
    <w:rsid w:val="001C37CB"/>
    <w:rsid w:val="00255E0D"/>
    <w:rsid w:val="002737F3"/>
    <w:rsid w:val="002C362D"/>
    <w:rsid w:val="002D0F54"/>
    <w:rsid w:val="002F061A"/>
    <w:rsid w:val="002F33CB"/>
    <w:rsid w:val="00370BFD"/>
    <w:rsid w:val="003D4CCE"/>
    <w:rsid w:val="0046049E"/>
    <w:rsid w:val="004754D0"/>
    <w:rsid w:val="004D7856"/>
    <w:rsid w:val="004F28C1"/>
    <w:rsid w:val="00502F2E"/>
    <w:rsid w:val="00514FA5"/>
    <w:rsid w:val="00530DF3"/>
    <w:rsid w:val="0056366B"/>
    <w:rsid w:val="0057726B"/>
    <w:rsid w:val="00596303"/>
    <w:rsid w:val="0060461C"/>
    <w:rsid w:val="00604892"/>
    <w:rsid w:val="00634850"/>
    <w:rsid w:val="00673225"/>
    <w:rsid w:val="0069209B"/>
    <w:rsid w:val="006A5D73"/>
    <w:rsid w:val="006E2667"/>
    <w:rsid w:val="0072022C"/>
    <w:rsid w:val="007A3B0E"/>
    <w:rsid w:val="007B14D2"/>
    <w:rsid w:val="007D577A"/>
    <w:rsid w:val="008002CB"/>
    <w:rsid w:val="0080765B"/>
    <w:rsid w:val="008822B0"/>
    <w:rsid w:val="008D390E"/>
    <w:rsid w:val="00940287"/>
    <w:rsid w:val="009870C9"/>
    <w:rsid w:val="00A564CC"/>
    <w:rsid w:val="00A67CE5"/>
    <w:rsid w:val="00A84744"/>
    <w:rsid w:val="00B06BCA"/>
    <w:rsid w:val="00B15842"/>
    <w:rsid w:val="00B77A9A"/>
    <w:rsid w:val="00B80F98"/>
    <w:rsid w:val="00BC0D47"/>
    <w:rsid w:val="00BF15AB"/>
    <w:rsid w:val="00BF2673"/>
    <w:rsid w:val="00C608EB"/>
    <w:rsid w:val="00CA726F"/>
    <w:rsid w:val="00CB7796"/>
    <w:rsid w:val="00CD0E95"/>
    <w:rsid w:val="00D01C33"/>
    <w:rsid w:val="00D6718F"/>
    <w:rsid w:val="00DA040C"/>
    <w:rsid w:val="00DE786E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1438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Александр А. Шевченко</cp:lastModifiedBy>
  <cp:revision>33</cp:revision>
  <cp:lastPrinted>2020-04-14T08:47:00Z</cp:lastPrinted>
  <dcterms:created xsi:type="dcterms:W3CDTF">2020-02-13T07:10:00Z</dcterms:created>
  <dcterms:modified xsi:type="dcterms:W3CDTF">2021-03-12T08:51:00Z</dcterms:modified>
</cp:coreProperties>
</file>