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935328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532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93532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461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019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D52B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A019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52B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461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  <w:r w:rsidR="00D52B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D52B2E" w:rsidP="00D52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019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67</w:t>
            </w:r>
            <w:r w:rsidR="004618F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закрытого акционерного общества «Бендерский пивоваренный завод» (г. Бендеры, ул. Дружбы, д. 7</w:t>
      </w:r>
      <w:r w:rsidR="0023040B">
        <w:rPr>
          <w:rFonts w:ascii="Times New Roman" w:hAnsi="Times New Roman" w:cs="Times New Roman"/>
          <w:sz w:val="24"/>
          <w:szCs w:val="24"/>
        </w:rPr>
        <w:t>)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к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«Градус»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A0196C">
        <w:rPr>
          <w:rFonts w:ascii="Times New Roman" w:hAnsi="Times New Roman" w:cs="Times New Roman"/>
          <w:sz w:val="24"/>
          <w:szCs w:val="24"/>
        </w:rPr>
        <w:t>г. Тирасполь, ул. Луначарского, д. 24</w:t>
      </w:r>
      <w:r w:rsidR="0023040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>о</w:t>
      </w:r>
      <w:r w:rsidR="00A0196C">
        <w:rPr>
          <w:rFonts w:ascii="Times New Roman" w:hAnsi="Times New Roman" w:cs="Times New Roman"/>
          <w:sz w:val="24"/>
          <w:szCs w:val="24"/>
        </w:rPr>
        <w:t xml:space="preserve"> взыскании задолженности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52B2E" w:rsidRDefault="00D52B2E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A0196C">
        <w:rPr>
          <w:rFonts w:ascii="Times New Roman" w:hAnsi="Times New Roman" w:cs="Times New Roman"/>
          <w:sz w:val="24"/>
          <w:szCs w:val="24"/>
        </w:rPr>
        <w:t>закрытого акционерного общества «Бендерский пивоваренный завод»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A0196C">
        <w:rPr>
          <w:rFonts w:ascii="Times New Roman" w:eastAsia="Times New Roman" w:hAnsi="Times New Roman" w:cs="Times New Roman"/>
          <w:b/>
          <w:sz w:val="24"/>
          <w:szCs w:val="24"/>
        </w:rPr>
        <w:t>№ 67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-12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1117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 w:rsidR="0011173A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11-00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0196C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«Градус»</w:t>
      </w:r>
      <w:bookmarkStart w:id="0" w:name="_GoBack"/>
      <w:bookmarkEnd w:id="0"/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D52B2E">
        <w:rPr>
          <w:rFonts w:ascii="Times New Roman" w:eastAsia="Times New Roman" w:hAnsi="Times New Roman" w:cs="Times New Roman"/>
          <w:sz w:val="24"/>
          <w:szCs w:val="24"/>
        </w:rPr>
        <w:t xml:space="preserve">Арбитражному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52B2E" w:rsidRDefault="00D52B2E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D52B2E" w:rsidRDefault="00D52B2E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1173A"/>
    <w:rsid w:val="0018451B"/>
    <w:rsid w:val="00185786"/>
    <w:rsid w:val="001F69F2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C35D5"/>
    <w:rsid w:val="003C44F7"/>
    <w:rsid w:val="00420723"/>
    <w:rsid w:val="004412D3"/>
    <w:rsid w:val="00447D84"/>
    <w:rsid w:val="004618F5"/>
    <w:rsid w:val="00466F63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3099A"/>
    <w:rsid w:val="00935328"/>
    <w:rsid w:val="00954DBE"/>
    <w:rsid w:val="009614E3"/>
    <w:rsid w:val="009C2CC8"/>
    <w:rsid w:val="009C55C6"/>
    <w:rsid w:val="00A0196C"/>
    <w:rsid w:val="00A134B7"/>
    <w:rsid w:val="00AD783B"/>
    <w:rsid w:val="00BE43E7"/>
    <w:rsid w:val="00CB0D98"/>
    <w:rsid w:val="00CE339F"/>
    <w:rsid w:val="00CE69EB"/>
    <w:rsid w:val="00D13DA6"/>
    <w:rsid w:val="00D21DA4"/>
    <w:rsid w:val="00D52B2E"/>
    <w:rsid w:val="00D614E3"/>
    <w:rsid w:val="00D70212"/>
    <w:rsid w:val="00D8736E"/>
    <w:rsid w:val="00DC50F2"/>
    <w:rsid w:val="00E1265A"/>
    <w:rsid w:val="00E22954"/>
    <w:rsid w:val="00E62B8A"/>
    <w:rsid w:val="00E66DFD"/>
    <w:rsid w:val="00EB6D43"/>
    <w:rsid w:val="00F55F72"/>
    <w:rsid w:val="00F643BD"/>
    <w:rsid w:val="00F7123E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2021-02-05T06:53:00Z</dcterms:created>
  <dcterms:modified xsi:type="dcterms:W3CDTF">2021-02-05T08:42:00Z</dcterms:modified>
</cp:coreProperties>
</file>