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052002"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О П Р Е Д Е Л Е Н И Е</w:t>
      </w:r>
    </w:p>
    <w:p w:rsidR="006A5E49" w:rsidRPr="001823B7" w:rsidRDefault="006A5E49" w:rsidP="00A032B6">
      <w:pPr>
        <w:ind w:left="-181"/>
        <w:jc w:val="center"/>
        <w:rPr>
          <w:b/>
        </w:rPr>
      </w:pPr>
      <w:r>
        <w:rPr>
          <w:b/>
        </w:rPr>
        <w:t>об отложении рассмотрения дела</w:t>
      </w:r>
      <w:r w:rsidR="00DA14F0">
        <w:rPr>
          <w:b/>
        </w:rPr>
        <w:t xml:space="preserve"> и привлечении третьих лиц</w:t>
      </w:r>
    </w:p>
    <w:p w:rsidR="00E37C05" w:rsidRPr="006A5E49" w:rsidRDefault="00E37C05" w:rsidP="00E37C05">
      <w:pPr>
        <w:ind w:left="-181"/>
        <w:jc w:val="center"/>
        <w:rPr>
          <w:b/>
          <w:sz w:val="16"/>
          <w:szCs w:val="16"/>
        </w:rPr>
      </w:pPr>
    </w:p>
    <w:p w:rsidR="00717526" w:rsidRPr="0051667D" w:rsidRDefault="00717526" w:rsidP="00782D38">
      <w:pPr>
        <w:tabs>
          <w:tab w:val="left" w:pos="709"/>
        </w:tabs>
        <w:ind w:left="-142" w:firstLine="426"/>
        <w:jc w:val="center"/>
        <w:rPr>
          <w:b/>
          <w:sz w:val="16"/>
          <w:szCs w:val="16"/>
        </w:rPr>
      </w:pPr>
    </w:p>
    <w:tbl>
      <w:tblPr>
        <w:tblW w:w="10065" w:type="dxa"/>
        <w:tblInd w:w="108" w:type="dxa"/>
        <w:tblLayout w:type="fixed"/>
        <w:tblLook w:val="01E0"/>
      </w:tblPr>
      <w:tblGrid>
        <w:gridCol w:w="1341"/>
        <w:gridCol w:w="786"/>
        <w:gridCol w:w="283"/>
        <w:gridCol w:w="284"/>
        <w:gridCol w:w="65"/>
        <w:gridCol w:w="838"/>
        <w:gridCol w:w="1497"/>
        <w:gridCol w:w="2080"/>
        <w:gridCol w:w="107"/>
        <w:gridCol w:w="2784"/>
      </w:tblGrid>
      <w:tr w:rsidR="00435D1A" w:rsidRPr="001823B7" w:rsidTr="00F73B64">
        <w:trPr>
          <w:trHeight w:val="259"/>
        </w:trPr>
        <w:tc>
          <w:tcPr>
            <w:tcW w:w="5094" w:type="dxa"/>
            <w:gridSpan w:val="7"/>
          </w:tcPr>
          <w:p w:rsidR="00435D1A" w:rsidRPr="0043022E" w:rsidRDefault="00435D1A" w:rsidP="00782D38">
            <w:pPr>
              <w:ind w:left="-142" w:firstLine="426"/>
              <w:rPr>
                <w:rFonts w:eastAsia="Calibri"/>
                <w:bCs/>
                <w:u w:val="single"/>
              </w:rPr>
            </w:pPr>
            <w:r w:rsidRPr="0043022E">
              <w:rPr>
                <w:rFonts w:eastAsia="Calibri"/>
                <w:u w:val="single"/>
              </w:rPr>
              <w:t>«</w:t>
            </w:r>
            <w:r w:rsidR="00DA14F0">
              <w:rPr>
                <w:rFonts w:eastAsia="Calibri"/>
                <w:u w:val="single"/>
              </w:rPr>
              <w:t>12</w:t>
            </w:r>
            <w:r w:rsidRPr="0043022E">
              <w:rPr>
                <w:rFonts w:eastAsia="Calibri"/>
                <w:u w:val="single"/>
              </w:rPr>
              <w:t>»</w:t>
            </w:r>
            <w:r w:rsidR="00554B3A" w:rsidRPr="0043022E">
              <w:rPr>
                <w:rFonts w:eastAsia="Calibri"/>
                <w:u w:val="single"/>
              </w:rPr>
              <w:t xml:space="preserve">  </w:t>
            </w:r>
            <w:r w:rsidR="00DA14F0">
              <w:rPr>
                <w:rFonts w:eastAsia="Calibri"/>
                <w:u w:val="single"/>
              </w:rPr>
              <w:t>февраля</w:t>
            </w:r>
            <w:r w:rsidR="00554B3A" w:rsidRPr="0043022E">
              <w:rPr>
                <w:rFonts w:eastAsia="Calibri"/>
                <w:u w:val="single"/>
              </w:rPr>
              <w:t xml:space="preserve">  </w:t>
            </w:r>
            <w:r w:rsidRPr="0043022E">
              <w:rPr>
                <w:rFonts w:eastAsia="Calibri"/>
                <w:bCs/>
                <w:u w:val="single"/>
              </w:rPr>
              <w:t>20</w:t>
            </w:r>
            <w:r w:rsidR="00554B3A" w:rsidRPr="0043022E">
              <w:rPr>
                <w:rFonts w:eastAsia="Calibri"/>
                <w:bCs/>
                <w:u w:val="single"/>
              </w:rPr>
              <w:t>2</w:t>
            </w:r>
            <w:r w:rsidR="000366AF">
              <w:rPr>
                <w:rFonts w:eastAsia="Calibri"/>
                <w:bCs/>
                <w:u w:val="single"/>
              </w:rPr>
              <w:t>1</w:t>
            </w:r>
            <w:r w:rsidR="00485A7C" w:rsidRPr="0043022E">
              <w:rPr>
                <w:rFonts w:eastAsia="Calibri"/>
                <w:bCs/>
                <w:u w:val="single"/>
              </w:rPr>
              <w:t xml:space="preserve"> </w:t>
            </w:r>
            <w:r w:rsidRPr="0043022E">
              <w:rPr>
                <w:rFonts w:eastAsia="Calibri"/>
                <w:bCs/>
                <w:u w:val="single"/>
              </w:rPr>
              <w:t>г</w:t>
            </w:r>
            <w:r w:rsidR="000B5210" w:rsidRPr="0043022E">
              <w:rPr>
                <w:rFonts w:eastAsia="Calibri"/>
                <w:bCs/>
                <w:u w:val="single"/>
              </w:rPr>
              <w:t>ода</w:t>
            </w:r>
          </w:p>
        </w:tc>
        <w:tc>
          <w:tcPr>
            <w:tcW w:w="4971" w:type="dxa"/>
            <w:gridSpan w:val="3"/>
          </w:tcPr>
          <w:p w:rsidR="00435D1A" w:rsidRPr="00485A7C" w:rsidRDefault="00435D1A" w:rsidP="00782D38">
            <w:pPr>
              <w:ind w:left="-142" w:firstLine="426"/>
              <w:rPr>
                <w:rFonts w:eastAsia="Calibri"/>
                <w:b/>
                <w:bCs/>
                <w:u w:val="single"/>
              </w:rPr>
            </w:pPr>
            <w:r w:rsidRPr="00485A7C">
              <w:rPr>
                <w:rFonts w:eastAsia="Calibri"/>
                <w:bCs/>
              </w:rPr>
              <w:t xml:space="preserve">         </w:t>
            </w:r>
            <w:r w:rsidR="00485A7C">
              <w:rPr>
                <w:rFonts w:eastAsia="Calibri"/>
                <w:bCs/>
              </w:rPr>
              <w:t xml:space="preserve">             </w:t>
            </w:r>
            <w:r w:rsidR="00F73B64">
              <w:rPr>
                <w:rFonts w:eastAsia="Calibri"/>
                <w:bCs/>
              </w:rPr>
              <w:t xml:space="preserve">       </w:t>
            </w:r>
            <w:r w:rsidRPr="00485A7C">
              <w:rPr>
                <w:rFonts w:eastAsia="Calibri"/>
                <w:bCs/>
              </w:rPr>
              <w:t xml:space="preserve">    </w:t>
            </w:r>
            <w:r w:rsidRPr="001B30A8">
              <w:rPr>
                <w:rFonts w:eastAsia="Calibri"/>
                <w:bCs/>
                <w:u w:val="single"/>
              </w:rPr>
              <w:t xml:space="preserve">Дело </w:t>
            </w:r>
            <w:r w:rsidRPr="001B30A8">
              <w:rPr>
                <w:rFonts w:eastAsia="Calibri"/>
                <w:u w:val="single"/>
              </w:rPr>
              <w:t>№</w:t>
            </w:r>
            <w:r w:rsidR="000366AF">
              <w:rPr>
                <w:rFonts w:eastAsia="Calibri"/>
                <w:u w:val="single"/>
              </w:rPr>
              <w:t>877</w:t>
            </w:r>
            <w:r w:rsidR="000B5210">
              <w:rPr>
                <w:rFonts w:eastAsia="Calibri"/>
                <w:u w:val="single"/>
              </w:rPr>
              <w:t>/</w:t>
            </w:r>
            <w:r w:rsidR="00554B3A">
              <w:rPr>
                <w:rFonts w:eastAsia="Calibri"/>
                <w:u w:val="single"/>
              </w:rPr>
              <w:t>20</w:t>
            </w:r>
            <w:r w:rsidR="00485A7C">
              <w:rPr>
                <w:rFonts w:eastAsia="Calibri"/>
                <w:u w:val="single"/>
              </w:rPr>
              <w:t>-</w:t>
            </w:r>
            <w:r w:rsidR="00554B3A">
              <w:rPr>
                <w:rFonts w:eastAsia="Calibri"/>
                <w:u w:val="single"/>
              </w:rPr>
              <w:t>02</w:t>
            </w:r>
          </w:p>
        </w:tc>
      </w:tr>
      <w:tr w:rsidR="00717526" w:rsidRPr="001823B7" w:rsidTr="00F73B64">
        <w:tc>
          <w:tcPr>
            <w:tcW w:w="1341" w:type="dxa"/>
          </w:tcPr>
          <w:p w:rsidR="00F64381" w:rsidRPr="00485A7C" w:rsidRDefault="00F64381" w:rsidP="00782D38">
            <w:pPr>
              <w:ind w:left="-142" w:firstLine="426"/>
              <w:rPr>
                <w:rFonts w:eastAsia="Calibri"/>
                <w:b/>
                <w:bCs/>
              </w:rPr>
            </w:pPr>
          </w:p>
        </w:tc>
        <w:tc>
          <w:tcPr>
            <w:tcW w:w="1418" w:type="dxa"/>
            <w:gridSpan w:val="4"/>
          </w:tcPr>
          <w:p w:rsidR="00F64381" w:rsidRPr="00485A7C" w:rsidRDefault="00F64381" w:rsidP="00782D38">
            <w:pPr>
              <w:ind w:left="-142" w:firstLine="426"/>
              <w:rPr>
                <w:rFonts w:eastAsia="Calibri"/>
                <w:b/>
                <w:bCs/>
              </w:rPr>
            </w:pPr>
          </w:p>
        </w:tc>
        <w:tc>
          <w:tcPr>
            <w:tcW w:w="838" w:type="dxa"/>
          </w:tcPr>
          <w:p w:rsidR="00F64381" w:rsidRPr="00485A7C" w:rsidRDefault="00F64381" w:rsidP="00782D38">
            <w:pPr>
              <w:ind w:left="-142" w:firstLine="426"/>
              <w:rPr>
                <w:rFonts w:eastAsia="Calibri"/>
                <w:b/>
                <w:bCs/>
              </w:rPr>
            </w:pPr>
          </w:p>
        </w:tc>
        <w:tc>
          <w:tcPr>
            <w:tcW w:w="3577" w:type="dxa"/>
            <w:gridSpan w:val="2"/>
          </w:tcPr>
          <w:p w:rsidR="00F64381" w:rsidRPr="00485A7C" w:rsidRDefault="00F64381" w:rsidP="00782D38">
            <w:pPr>
              <w:tabs>
                <w:tab w:val="center" w:pos="1805"/>
              </w:tabs>
              <w:ind w:left="-142" w:firstLine="426"/>
              <w:jc w:val="center"/>
              <w:rPr>
                <w:rFonts w:eastAsia="Calibri"/>
                <w:bCs/>
              </w:rPr>
            </w:pPr>
          </w:p>
        </w:tc>
        <w:tc>
          <w:tcPr>
            <w:tcW w:w="2891" w:type="dxa"/>
            <w:gridSpan w:val="2"/>
          </w:tcPr>
          <w:p w:rsidR="00F64381" w:rsidRPr="00485A7C" w:rsidRDefault="00F64381" w:rsidP="00782D38">
            <w:pPr>
              <w:ind w:left="-142" w:firstLine="426"/>
              <w:rPr>
                <w:rFonts w:eastAsia="Calibri"/>
                <w:b/>
                <w:bCs/>
              </w:rPr>
            </w:pPr>
          </w:p>
        </w:tc>
      </w:tr>
      <w:tr w:rsidR="0051667D" w:rsidRPr="001823B7" w:rsidTr="00F73B64">
        <w:tc>
          <w:tcPr>
            <w:tcW w:w="2127" w:type="dxa"/>
            <w:gridSpan w:val="2"/>
          </w:tcPr>
          <w:p w:rsidR="008273B9" w:rsidRPr="00485A7C" w:rsidRDefault="001823B7" w:rsidP="00782D38">
            <w:pPr>
              <w:ind w:left="-142" w:firstLine="426"/>
              <w:rPr>
                <w:rFonts w:eastAsia="Calibri"/>
                <w:b/>
                <w:bCs/>
              </w:rPr>
            </w:pPr>
            <w:r w:rsidRPr="00485A7C">
              <w:rPr>
                <w:rFonts w:eastAsia="Calibri"/>
                <w:bCs/>
              </w:rPr>
              <w:t>г. Тирасполь</w:t>
            </w:r>
          </w:p>
        </w:tc>
        <w:tc>
          <w:tcPr>
            <w:tcW w:w="283" w:type="dxa"/>
          </w:tcPr>
          <w:p w:rsidR="008273B9" w:rsidRPr="00485A7C" w:rsidRDefault="008273B9" w:rsidP="00782D38">
            <w:pPr>
              <w:ind w:left="-142" w:firstLine="426"/>
              <w:rPr>
                <w:rFonts w:eastAsia="Calibri"/>
                <w:b/>
                <w:bCs/>
              </w:rPr>
            </w:pPr>
          </w:p>
        </w:tc>
        <w:tc>
          <w:tcPr>
            <w:tcW w:w="284" w:type="dxa"/>
          </w:tcPr>
          <w:p w:rsidR="008273B9" w:rsidRPr="00485A7C" w:rsidRDefault="008273B9" w:rsidP="00782D38">
            <w:pPr>
              <w:ind w:left="-142" w:firstLine="426"/>
              <w:jc w:val="center"/>
              <w:rPr>
                <w:rFonts w:eastAsia="Calibri"/>
                <w:b/>
                <w:bCs/>
              </w:rPr>
            </w:pPr>
          </w:p>
        </w:tc>
        <w:tc>
          <w:tcPr>
            <w:tcW w:w="4587" w:type="dxa"/>
            <w:gridSpan w:val="5"/>
          </w:tcPr>
          <w:p w:rsidR="008273B9" w:rsidRPr="00485A7C" w:rsidRDefault="008273B9" w:rsidP="00782D38">
            <w:pPr>
              <w:ind w:left="-142" w:firstLine="426"/>
              <w:jc w:val="center"/>
              <w:rPr>
                <w:rFonts w:eastAsia="Calibri"/>
                <w:b/>
                <w:bCs/>
              </w:rPr>
            </w:pPr>
          </w:p>
        </w:tc>
        <w:tc>
          <w:tcPr>
            <w:tcW w:w="2784" w:type="dxa"/>
          </w:tcPr>
          <w:p w:rsidR="008273B9" w:rsidRPr="00485A7C" w:rsidRDefault="008273B9" w:rsidP="00782D38">
            <w:pPr>
              <w:ind w:left="-142" w:firstLine="426"/>
              <w:rPr>
                <w:rFonts w:eastAsia="Calibri"/>
                <w:b/>
                <w:bCs/>
              </w:rPr>
            </w:pPr>
          </w:p>
        </w:tc>
      </w:tr>
      <w:tr w:rsidR="00717526" w:rsidRPr="001823B7" w:rsidTr="00F73B64">
        <w:tc>
          <w:tcPr>
            <w:tcW w:w="1341" w:type="dxa"/>
          </w:tcPr>
          <w:p w:rsidR="00485A7C" w:rsidRPr="00485A7C" w:rsidRDefault="00485A7C" w:rsidP="00782D38">
            <w:pPr>
              <w:ind w:left="-142" w:firstLine="426"/>
              <w:rPr>
                <w:rFonts w:eastAsia="Calibri"/>
                <w:b/>
                <w:bCs/>
              </w:rPr>
            </w:pPr>
          </w:p>
        </w:tc>
        <w:tc>
          <w:tcPr>
            <w:tcW w:w="1418" w:type="dxa"/>
            <w:gridSpan w:val="4"/>
          </w:tcPr>
          <w:p w:rsidR="008273B9" w:rsidRPr="00485A7C" w:rsidRDefault="008273B9" w:rsidP="00782D38">
            <w:pPr>
              <w:ind w:left="-142" w:firstLine="426"/>
              <w:rPr>
                <w:rFonts w:eastAsia="Calibri"/>
                <w:b/>
                <w:bCs/>
              </w:rPr>
            </w:pPr>
          </w:p>
        </w:tc>
        <w:tc>
          <w:tcPr>
            <w:tcW w:w="838" w:type="dxa"/>
          </w:tcPr>
          <w:p w:rsidR="008273B9" w:rsidRPr="00485A7C" w:rsidRDefault="008273B9" w:rsidP="00782D38">
            <w:pPr>
              <w:ind w:left="-142" w:firstLine="426"/>
              <w:rPr>
                <w:rFonts w:eastAsia="Calibri"/>
                <w:b/>
                <w:bCs/>
              </w:rPr>
            </w:pPr>
          </w:p>
        </w:tc>
        <w:tc>
          <w:tcPr>
            <w:tcW w:w="3577" w:type="dxa"/>
            <w:gridSpan w:val="2"/>
          </w:tcPr>
          <w:p w:rsidR="008273B9" w:rsidRPr="00485A7C" w:rsidRDefault="008273B9" w:rsidP="00782D38">
            <w:pPr>
              <w:ind w:left="-142" w:firstLine="426"/>
              <w:rPr>
                <w:rFonts w:eastAsia="Calibri"/>
                <w:b/>
                <w:bCs/>
              </w:rPr>
            </w:pPr>
          </w:p>
        </w:tc>
        <w:tc>
          <w:tcPr>
            <w:tcW w:w="2891" w:type="dxa"/>
            <w:gridSpan w:val="2"/>
          </w:tcPr>
          <w:p w:rsidR="008273B9" w:rsidRPr="00485A7C" w:rsidRDefault="008273B9" w:rsidP="00782D38">
            <w:pPr>
              <w:ind w:left="-142" w:firstLine="426"/>
              <w:rPr>
                <w:rFonts w:eastAsia="Calibri"/>
                <w:b/>
                <w:bCs/>
              </w:rPr>
            </w:pPr>
          </w:p>
        </w:tc>
      </w:tr>
      <w:tr w:rsidR="0051667D" w:rsidRPr="001823B7" w:rsidTr="00F73B64">
        <w:tc>
          <w:tcPr>
            <w:tcW w:w="1341" w:type="dxa"/>
          </w:tcPr>
          <w:p w:rsidR="008273B9" w:rsidRPr="001823B7" w:rsidRDefault="008273B9" w:rsidP="00782D38">
            <w:pPr>
              <w:ind w:left="-142" w:firstLine="426"/>
              <w:rPr>
                <w:rFonts w:eastAsia="Calibri"/>
                <w:b/>
                <w:bCs/>
                <w:sz w:val="20"/>
                <w:szCs w:val="20"/>
              </w:rPr>
            </w:pPr>
          </w:p>
        </w:tc>
        <w:tc>
          <w:tcPr>
            <w:tcW w:w="1418" w:type="dxa"/>
            <w:gridSpan w:val="4"/>
          </w:tcPr>
          <w:p w:rsidR="008273B9" w:rsidRPr="001823B7" w:rsidRDefault="008273B9" w:rsidP="00782D38">
            <w:pPr>
              <w:ind w:left="-142" w:firstLine="426"/>
              <w:rPr>
                <w:rFonts w:eastAsia="Calibri"/>
                <w:b/>
                <w:bCs/>
                <w:sz w:val="20"/>
                <w:szCs w:val="20"/>
              </w:rPr>
            </w:pPr>
          </w:p>
        </w:tc>
        <w:tc>
          <w:tcPr>
            <w:tcW w:w="838" w:type="dxa"/>
          </w:tcPr>
          <w:p w:rsidR="008273B9" w:rsidRPr="001823B7" w:rsidRDefault="008273B9" w:rsidP="00782D38">
            <w:pPr>
              <w:ind w:left="-142" w:firstLine="426"/>
              <w:rPr>
                <w:rFonts w:eastAsia="Calibri"/>
                <w:b/>
                <w:bCs/>
                <w:sz w:val="20"/>
                <w:szCs w:val="20"/>
              </w:rPr>
            </w:pPr>
          </w:p>
        </w:tc>
        <w:tc>
          <w:tcPr>
            <w:tcW w:w="3577" w:type="dxa"/>
            <w:gridSpan w:val="2"/>
          </w:tcPr>
          <w:p w:rsidR="008273B9" w:rsidRPr="001823B7" w:rsidRDefault="008273B9" w:rsidP="00782D38">
            <w:pPr>
              <w:ind w:left="-142" w:firstLine="426"/>
              <w:rPr>
                <w:rFonts w:eastAsia="Calibri"/>
                <w:b/>
                <w:bCs/>
                <w:sz w:val="20"/>
                <w:szCs w:val="20"/>
              </w:rPr>
            </w:pPr>
          </w:p>
        </w:tc>
        <w:tc>
          <w:tcPr>
            <w:tcW w:w="2891" w:type="dxa"/>
            <w:gridSpan w:val="2"/>
          </w:tcPr>
          <w:p w:rsidR="008273B9" w:rsidRPr="001823B7" w:rsidRDefault="008273B9" w:rsidP="00782D38">
            <w:pPr>
              <w:ind w:left="-142" w:firstLine="426"/>
              <w:rPr>
                <w:rFonts w:eastAsia="Calibri"/>
                <w:b/>
                <w:bCs/>
                <w:sz w:val="20"/>
                <w:szCs w:val="20"/>
              </w:rPr>
            </w:pPr>
          </w:p>
        </w:tc>
      </w:tr>
    </w:tbl>
    <w:p w:rsidR="00B34013" w:rsidRDefault="000B5210" w:rsidP="00782D38">
      <w:pPr>
        <w:pStyle w:val="af"/>
        <w:ind w:left="-142" w:firstLine="426"/>
        <w:jc w:val="both"/>
      </w:pPr>
      <w:r w:rsidRPr="00F73B64">
        <w:t xml:space="preserve">Арбитражный суд Приднестровской Молдавской Республики в составе судьи                      </w:t>
      </w:r>
      <w:r w:rsidR="00554B3A" w:rsidRPr="00F73B64">
        <w:t>Е.В.Качуровск</w:t>
      </w:r>
      <w:r w:rsidR="009B5C25" w:rsidRPr="00F73B64">
        <w:t>ой</w:t>
      </w:r>
      <w:r w:rsidRPr="00F73B64">
        <w:t xml:space="preserve">, </w:t>
      </w:r>
      <w:r w:rsidR="006A5E49" w:rsidRPr="00F73B64">
        <w:t>рассматривая в открытом судебном заседании</w:t>
      </w:r>
      <w:r w:rsidRPr="00F73B64">
        <w:t xml:space="preserve"> </w:t>
      </w:r>
      <w:r w:rsidR="00846717" w:rsidRPr="00F73B64">
        <w:t xml:space="preserve">дело </w:t>
      </w:r>
      <w:r w:rsidR="000366AF" w:rsidRPr="00F73B64">
        <w:t>по иску общества с ограниченной ответственностью «Дорожно-ремонтная строительная организация «Радикал» (г.Рыбница ул.Чернышевского, 51) к Государственной администрации Рыбницкого района и г.Рыбница (г.Рыбница пр.Победы, 4) о возврате неосновательного обогащения, третье лицо на стороне ответчика не заявляющее самостоятельных требований  МУП «Жилищно-эксплуатационной управляющая компания г.Рыбница» (г.Рыбница ул.С.Лазо, 1б),</w:t>
      </w:r>
      <w:r w:rsidR="00F73B64">
        <w:t xml:space="preserve"> </w:t>
      </w:r>
    </w:p>
    <w:p w:rsidR="00B34013" w:rsidRDefault="00F2317E" w:rsidP="00782D38">
      <w:pPr>
        <w:pStyle w:val="af"/>
        <w:ind w:left="-142" w:firstLine="426"/>
        <w:jc w:val="both"/>
      </w:pPr>
      <w:r>
        <w:t>с</w:t>
      </w:r>
      <w:r w:rsidR="00B34013">
        <w:t xml:space="preserve"> участием представителя истца Гайванюк С.Н. по доверенности № 04 от 14.01.2021 г., </w:t>
      </w:r>
    </w:p>
    <w:p w:rsidR="00503476" w:rsidRPr="00F73B64" w:rsidRDefault="000366AF" w:rsidP="00782D38">
      <w:pPr>
        <w:pStyle w:val="af"/>
        <w:ind w:left="-142" w:firstLine="426"/>
        <w:jc w:val="both"/>
      </w:pPr>
      <w:r w:rsidRPr="00F73B64">
        <w:t>в отсутствие представител</w:t>
      </w:r>
      <w:r w:rsidR="00B34013">
        <w:t>е</w:t>
      </w:r>
      <w:r w:rsidRPr="00F73B64">
        <w:t>й ответчика</w:t>
      </w:r>
      <w:r w:rsidR="00B34013">
        <w:t xml:space="preserve"> и третьего лица МУП «ЖЭУК г.Р</w:t>
      </w:r>
      <w:r w:rsidR="00F2317E">
        <w:t>ыбница»</w:t>
      </w:r>
      <w:r w:rsidR="00B34013">
        <w:t>,</w:t>
      </w:r>
      <w:r w:rsidRPr="00F73B64">
        <w:t xml:space="preserve"> </w:t>
      </w:r>
      <w:r w:rsidR="00F2317E">
        <w:t>уведомленных о времени и месте рассмотрения дела надлежащим образом,</w:t>
      </w:r>
    </w:p>
    <w:p w:rsidR="0012080B" w:rsidRPr="00F73B64" w:rsidRDefault="0012080B" w:rsidP="00782D38">
      <w:pPr>
        <w:pStyle w:val="af"/>
        <w:ind w:left="-142" w:firstLine="426"/>
        <w:jc w:val="center"/>
        <w:rPr>
          <w:b/>
        </w:rPr>
      </w:pPr>
      <w:r w:rsidRPr="00F73B64">
        <w:rPr>
          <w:b/>
        </w:rPr>
        <w:t>У С Т А Н О В И Л:</w:t>
      </w:r>
    </w:p>
    <w:p w:rsidR="000366AF" w:rsidRPr="00F73B64" w:rsidRDefault="000366AF" w:rsidP="00782D38">
      <w:pPr>
        <w:pStyle w:val="af"/>
        <w:ind w:left="-142" w:firstLine="426"/>
        <w:jc w:val="both"/>
      </w:pPr>
      <w:r w:rsidRPr="00F73B64">
        <w:t>ООО «Дорожно-ремонтная строительная организация «Радикал» обратилась в Арбитражный суд ПМР с иском к Государственной администрации Рыбницкого района и г.Рыбница о возврате неосновательного обогащения. Просит суд обязать государственную администрацию Рыбницкого района и г.Рыбница возместить ООО «ДРСО «Радикал» неосновательно полученную сумму 1 256 236 рублей ПМР, а также проценты за пользование чужими денежными средствами в размере 645 024,84 рубля ПМР.</w:t>
      </w:r>
    </w:p>
    <w:p w:rsidR="000366AF" w:rsidRPr="00F73B64" w:rsidRDefault="000366AF" w:rsidP="00782D38">
      <w:pPr>
        <w:pStyle w:val="af"/>
        <w:ind w:left="-142" w:firstLine="426"/>
        <w:jc w:val="both"/>
      </w:pPr>
      <w:r w:rsidRPr="00F73B64">
        <w:t>Определен</w:t>
      </w:r>
      <w:r w:rsidR="00F2317E">
        <w:t>ием Арбитражного суда ПМР от 30.12.</w:t>
      </w:r>
      <w:r w:rsidRPr="00F73B64">
        <w:t xml:space="preserve">2020 года, после устранения истцом недостатков, послуживших основанием для оставления иска без движения, исковое заявление принято к производству. </w:t>
      </w:r>
    </w:p>
    <w:p w:rsidR="00B34013" w:rsidRDefault="00B34013" w:rsidP="00782D38">
      <w:pPr>
        <w:pStyle w:val="af"/>
        <w:ind w:left="-142" w:firstLine="426"/>
        <w:jc w:val="both"/>
      </w:pPr>
      <w:r>
        <w:t xml:space="preserve">Определением от 21.01.2021 г. принят отказ  </w:t>
      </w:r>
      <w:r w:rsidR="00F2317E">
        <w:t xml:space="preserve">истца </w:t>
      </w:r>
      <w:r>
        <w:t xml:space="preserve">от требований в части  взыскания процентов за пользование чужими денежными средствами в размере 645 024 рублей 84 копейки, производство по делу в данной части прекращено. </w:t>
      </w:r>
    </w:p>
    <w:p w:rsidR="00B34013" w:rsidRDefault="00DA14F0" w:rsidP="00782D38">
      <w:pPr>
        <w:ind w:left="-142" w:firstLine="426"/>
        <w:jc w:val="both"/>
      </w:pPr>
      <w:r w:rsidRPr="00DD30D9">
        <w:t>В состоявше</w:t>
      </w:r>
      <w:r w:rsidR="00B34013">
        <w:t>е</w:t>
      </w:r>
      <w:r w:rsidRPr="00DD30D9">
        <w:t xml:space="preserve">ся </w:t>
      </w:r>
      <w:r w:rsidR="00DA7979">
        <w:t>12.02.2021 г.</w:t>
      </w:r>
      <w:r w:rsidRPr="00DD30D9">
        <w:t xml:space="preserve"> судебно</w:t>
      </w:r>
      <w:r w:rsidR="00B34013">
        <w:t>е</w:t>
      </w:r>
      <w:r w:rsidRPr="00DD30D9">
        <w:t xml:space="preserve"> </w:t>
      </w:r>
      <w:r>
        <w:t>заседани</w:t>
      </w:r>
      <w:r w:rsidR="00B34013">
        <w:t xml:space="preserve">е не явились представитель ответчика и третьего лица МУП ЖЭУК г.Рыбница. От </w:t>
      </w:r>
      <w:r w:rsidR="00DA7979">
        <w:t xml:space="preserve">государственной администрации </w:t>
      </w:r>
      <w:r w:rsidR="00B34013">
        <w:t xml:space="preserve"> г.Рыбница поступило ходатайство </w:t>
      </w:r>
      <w:r w:rsidR="00782D38">
        <w:t xml:space="preserve">от 12.02.2021 г. № 01-16/554 </w:t>
      </w:r>
      <w:r w:rsidR="00B34013">
        <w:t>о</w:t>
      </w:r>
      <w:r w:rsidR="00F341D3">
        <w:t>б отложении судебного заседания</w:t>
      </w:r>
      <w:r w:rsidR="00782D38">
        <w:t xml:space="preserve">. </w:t>
      </w:r>
    </w:p>
    <w:p w:rsidR="00B34013" w:rsidRDefault="00B34013" w:rsidP="00782D38">
      <w:pPr>
        <w:ind w:left="-142" w:firstLine="426"/>
        <w:jc w:val="both"/>
      </w:pPr>
      <w:r>
        <w:t xml:space="preserve">Определением суда, вынесенным в </w:t>
      </w:r>
      <w:r w:rsidR="00782D38">
        <w:t>соответствии</w:t>
      </w:r>
      <w:r>
        <w:t xml:space="preserve"> со ст.128 п.3, 107 АПК ПМР без его оформления в виде отдельного судебного акта (протокольным) в удовлетворении ходатайства представителя ГА г.Рыбница об отложении судебного </w:t>
      </w:r>
      <w:r w:rsidR="00782D38">
        <w:t>заседания</w:t>
      </w:r>
      <w:r>
        <w:t xml:space="preserve"> было отказано. </w:t>
      </w:r>
    </w:p>
    <w:p w:rsidR="00B34013" w:rsidRDefault="00782D38" w:rsidP="00782D38">
      <w:pPr>
        <w:ind w:left="-142" w:firstLine="426"/>
        <w:jc w:val="both"/>
      </w:pPr>
      <w:r>
        <w:lastRenderedPageBreak/>
        <w:t xml:space="preserve">В судебном заседании 12.02.2021 г. судом заслушаны пояснения представителя истца и по его ходатайству приобщены дополнительные доказательства. </w:t>
      </w:r>
    </w:p>
    <w:p w:rsidR="002D09CB" w:rsidRPr="00A92C7C" w:rsidRDefault="00045405" w:rsidP="00782D38">
      <w:pPr>
        <w:pStyle w:val="af"/>
        <w:ind w:left="-142" w:firstLine="426"/>
        <w:jc w:val="both"/>
      </w:pPr>
      <w:r>
        <w:t>В</w:t>
      </w:r>
      <w:r w:rsidR="00DA14F0">
        <w:t xml:space="preserve"> соответствии с пунктом 1 ст.31 АПК ПМР </w:t>
      </w:r>
      <w:r>
        <w:t xml:space="preserve">по инициативе суда </w:t>
      </w:r>
      <w:r w:rsidR="00DA14F0">
        <w:t xml:space="preserve">поставлен на обсуждение вопрос о привлечении к участию в деле </w:t>
      </w:r>
      <w:r w:rsidR="00782D38">
        <w:t>в качестве третьих лиц на стороне ответчика Финансово</w:t>
      </w:r>
      <w:r>
        <w:t>го</w:t>
      </w:r>
      <w:r w:rsidR="00782D38">
        <w:t xml:space="preserve"> управлени</w:t>
      </w:r>
      <w:r>
        <w:t>я</w:t>
      </w:r>
      <w:r w:rsidR="00782D38">
        <w:t xml:space="preserve"> г.Рыбница и Рыбницкого района Министерства финансов ПМР</w:t>
      </w:r>
      <w:r>
        <w:t>, а также</w:t>
      </w:r>
      <w:r w:rsidR="00782D38">
        <w:t xml:space="preserve">  Рыбницк</w:t>
      </w:r>
      <w:r>
        <w:t>ого</w:t>
      </w:r>
      <w:r w:rsidR="00782D38">
        <w:t xml:space="preserve"> городско</w:t>
      </w:r>
      <w:r>
        <w:t>го</w:t>
      </w:r>
      <w:r w:rsidR="00782D38">
        <w:t xml:space="preserve"> и районн</w:t>
      </w:r>
      <w:r>
        <w:t>ого</w:t>
      </w:r>
      <w:r w:rsidR="00782D38">
        <w:t xml:space="preserve"> совет</w:t>
      </w:r>
      <w:r>
        <w:t>а</w:t>
      </w:r>
      <w:r w:rsidR="00782D38">
        <w:t xml:space="preserve"> народных депутатов</w:t>
      </w:r>
      <w:r>
        <w:t xml:space="preserve">. Так, согласно имеющейся в материалах дела копии договора от 20.01.2012 г., на котором основывает свои требования истец, он должен был быть зарегистрирован и </w:t>
      </w:r>
      <w:r w:rsidR="00782D38">
        <w:t>вступает в силу с момента регистрации в Финансовом управлении г.Рыбница и Рыбницкого района Министерства финансов ПМР</w:t>
      </w:r>
      <w:r>
        <w:t xml:space="preserve">. </w:t>
      </w:r>
      <w:r w:rsidR="00782D38">
        <w:t xml:space="preserve">  </w:t>
      </w:r>
      <w:r w:rsidR="00A92C7C">
        <w:t>У</w:t>
      </w:r>
      <w:r w:rsidR="002D09CB" w:rsidRPr="00A92C7C">
        <w:t xml:space="preserve">тверждение </w:t>
      </w:r>
      <w:r w:rsidR="00A92C7C" w:rsidRPr="00A92C7C">
        <w:t xml:space="preserve">же </w:t>
      </w:r>
      <w:r w:rsidR="002D09CB" w:rsidRPr="00A92C7C">
        <w:t>бюджета и внесение в него изменений, утверждение отчетов об исполнении бюджета</w:t>
      </w:r>
      <w:r w:rsidR="00A92C7C" w:rsidRPr="00A92C7C">
        <w:t>,</w:t>
      </w:r>
      <w:r w:rsidR="002D09CB" w:rsidRPr="00A92C7C">
        <w:t xml:space="preserve"> согласно Закона ПМР «Об органах местной власти, местного самоуправления и государственной администрации в ПМР»</w:t>
      </w:r>
      <w:r w:rsidR="00A92C7C" w:rsidRPr="00A92C7C">
        <w:t>,</w:t>
      </w:r>
      <w:r w:rsidR="002D09CB" w:rsidRPr="00A92C7C">
        <w:t xml:space="preserve"> является исключительной компетенцией Совета народных депутатов</w:t>
      </w:r>
      <w:r w:rsidR="00A92C7C" w:rsidRPr="00A92C7C">
        <w:t>.</w:t>
      </w:r>
    </w:p>
    <w:p w:rsidR="00DA14F0" w:rsidRPr="00393CD4" w:rsidRDefault="00DA14F0" w:rsidP="00782D38">
      <w:pPr>
        <w:ind w:left="-142" w:firstLine="426"/>
        <w:jc w:val="both"/>
      </w:pPr>
      <w:r>
        <w:t>В соответствии с п.1 ст.31 АПК ПМР т</w:t>
      </w:r>
      <w:r w:rsidRPr="00393CD4">
        <w:t>ретьи лица, не заявляющие самостоятельных требований на предмет спора, могут вступить в дело на стороне истца или ответчика до принятия арбитражным судом решения, если решение по делу может повлиять на их права или обязанности по отношению к одной из сторон. Они могут быть привлечены к участию в деле также по ходатайству сторон или по инициативе суда.</w:t>
      </w:r>
    </w:p>
    <w:p w:rsidR="00782D38" w:rsidRDefault="00DA14F0" w:rsidP="00782D38">
      <w:pPr>
        <w:ind w:left="-142" w:firstLine="426"/>
        <w:jc w:val="both"/>
      </w:pPr>
      <w:r>
        <w:t>Учитывая мнение представител</w:t>
      </w:r>
      <w:r w:rsidR="00782D38">
        <w:t>я</w:t>
      </w:r>
      <w:r>
        <w:t xml:space="preserve"> истца </w:t>
      </w:r>
      <w:r w:rsidR="00782D38">
        <w:t xml:space="preserve">не возражавшего против привлечения указанных лиц к участию в деле, </w:t>
      </w:r>
      <w:r w:rsidRPr="00393CD4">
        <w:t xml:space="preserve"> </w:t>
      </w:r>
      <w:r>
        <w:t>суд полагает необходимым</w:t>
      </w:r>
      <w:r w:rsidR="00A92C7C" w:rsidRPr="00A92C7C">
        <w:t xml:space="preserve"> </w:t>
      </w:r>
      <w:r w:rsidR="00A92C7C">
        <w:t>в соответствии с п.1 ст.31 АПК ПМР</w:t>
      </w:r>
      <w:r>
        <w:t xml:space="preserve"> привлечь </w:t>
      </w:r>
      <w:r w:rsidR="00782D38">
        <w:t>к участию в деле в качестве третьих лиц не заявляющих самостоятельных требований на стороне ответчика Финансовое управление г.Рыбница и Рыбницкого района Министерства финансов ПМР</w:t>
      </w:r>
      <w:r w:rsidR="00782D38" w:rsidRPr="00782D38">
        <w:t xml:space="preserve"> </w:t>
      </w:r>
      <w:r w:rsidR="00782D38">
        <w:t>и  Рыбницкий городской и районный совет народных депутатов.</w:t>
      </w:r>
    </w:p>
    <w:p w:rsidR="00DA14F0" w:rsidRDefault="00DA14F0" w:rsidP="00782D38">
      <w:pPr>
        <w:ind w:left="-142" w:firstLine="426"/>
        <w:jc w:val="both"/>
      </w:pPr>
      <w:r>
        <w:t>В соответствии с п.1 ст.109 АПК ПМР</w:t>
      </w:r>
      <w:r w:rsidRPr="008F4F8B">
        <w:t xml:space="preserve"> Арбитражный суд вправе отложить рассмотрение дела в случаях, когда оно не может быть</w:t>
      </w:r>
      <w:r>
        <w:t xml:space="preserve"> рассмотрено в данном заседании</w:t>
      </w:r>
      <w:r w:rsidRPr="008F4F8B">
        <w:t>.</w:t>
      </w:r>
    </w:p>
    <w:p w:rsidR="00DA14F0" w:rsidRPr="008F4F8B" w:rsidRDefault="00DA14F0" w:rsidP="00782D38">
      <w:pPr>
        <w:ind w:left="-142" w:firstLine="426"/>
        <w:jc w:val="both"/>
      </w:pPr>
      <w:r>
        <w:t>Поскольку суд пришел к выводу о необходимости привлечения к участию в деле треть</w:t>
      </w:r>
      <w:r w:rsidR="00782D38">
        <w:t>их</w:t>
      </w:r>
      <w:r>
        <w:t xml:space="preserve"> лиц, а также учитывая необходимость </w:t>
      </w:r>
      <w:r w:rsidR="00782D38">
        <w:t>их</w:t>
      </w:r>
      <w:r>
        <w:t xml:space="preserve"> надлежащего уведомления, дело не может быть рассмотрено в данном судебном заседании</w:t>
      </w:r>
      <w:r w:rsidR="00A92C7C">
        <w:t>.</w:t>
      </w:r>
      <w:r>
        <w:t xml:space="preserve"> </w:t>
      </w:r>
    </w:p>
    <w:p w:rsidR="00606082" w:rsidRPr="00F73B64" w:rsidRDefault="00567797" w:rsidP="00782D38">
      <w:pPr>
        <w:pStyle w:val="af"/>
        <w:ind w:left="-142" w:firstLine="426"/>
        <w:jc w:val="both"/>
      </w:pPr>
      <w:r w:rsidRPr="00F73B64">
        <w:t>На основании изложенного,</w:t>
      </w:r>
      <w:r w:rsidR="00606082" w:rsidRPr="00F73B64">
        <w:t xml:space="preserve"> Арбитражный суд Приднестровской Молдавской Республики, руководствуясь статьями </w:t>
      </w:r>
      <w:r w:rsidR="00DA14F0">
        <w:t>31</w:t>
      </w:r>
      <w:r w:rsidR="00311870" w:rsidRPr="00F73B64">
        <w:t xml:space="preserve">, </w:t>
      </w:r>
      <w:r w:rsidR="00606082" w:rsidRPr="00F73B64">
        <w:t xml:space="preserve">109, 128 Арбитражного процессуального кодекса Приднестровской Молдавской Республики,  </w:t>
      </w:r>
    </w:p>
    <w:p w:rsidR="00606082" w:rsidRPr="00214DEF" w:rsidRDefault="00606082" w:rsidP="00782D38">
      <w:pPr>
        <w:pStyle w:val="af"/>
        <w:ind w:left="-142" w:firstLine="426"/>
        <w:jc w:val="center"/>
        <w:rPr>
          <w:b/>
        </w:rPr>
      </w:pPr>
      <w:r w:rsidRPr="00214DEF">
        <w:rPr>
          <w:b/>
        </w:rPr>
        <w:t>О П Р Е Д Е Л И Л:</w:t>
      </w:r>
    </w:p>
    <w:p w:rsidR="00277AEF" w:rsidRDefault="00277AEF" w:rsidP="00782D38">
      <w:pPr>
        <w:pStyle w:val="af"/>
        <w:ind w:left="-142" w:firstLine="426"/>
        <w:jc w:val="both"/>
      </w:pPr>
      <w:r>
        <w:t>1.</w:t>
      </w:r>
      <w:r w:rsidR="00DA14F0">
        <w:t>П</w:t>
      </w:r>
      <w:r>
        <w:t>ривлечь к участию в деле в качестве третьих лиц не заявляющих самостоятельных требований на стороне ответчика Финансовое управление г.Рыбница и Рыбницкого района Министерства финансов ПМР</w:t>
      </w:r>
      <w:r w:rsidR="00E71E4D">
        <w:t>, а также</w:t>
      </w:r>
      <w:r>
        <w:t xml:space="preserve">  Рыбницкий городской и районный совет народных депутатов.</w:t>
      </w:r>
    </w:p>
    <w:p w:rsidR="00DA14F0" w:rsidRDefault="00DA14F0" w:rsidP="00782D38">
      <w:pPr>
        <w:ind w:left="-142" w:firstLine="426"/>
        <w:jc w:val="both"/>
        <w:rPr>
          <w:color w:val="000000" w:themeColor="text1"/>
        </w:rPr>
      </w:pPr>
      <w:r>
        <w:rPr>
          <w:color w:val="000000" w:themeColor="text1"/>
        </w:rPr>
        <w:t xml:space="preserve">2. Обязать </w:t>
      </w:r>
      <w:r>
        <w:t>ООО</w:t>
      </w:r>
      <w:r w:rsidRPr="00F73B64">
        <w:t xml:space="preserve"> «</w:t>
      </w:r>
      <w:r>
        <w:t>ДРСО</w:t>
      </w:r>
      <w:r w:rsidRPr="00F73B64">
        <w:t xml:space="preserve"> «Радикал»</w:t>
      </w:r>
      <w:r>
        <w:t xml:space="preserve"> </w:t>
      </w:r>
      <w:r w:rsidRPr="00C20548">
        <w:rPr>
          <w:color w:val="000000" w:themeColor="text1"/>
        </w:rPr>
        <w:t xml:space="preserve">в срок до </w:t>
      </w:r>
      <w:r>
        <w:rPr>
          <w:color w:val="000000" w:themeColor="text1"/>
        </w:rPr>
        <w:t>25 февраля 2021</w:t>
      </w:r>
      <w:r w:rsidRPr="00C20548">
        <w:rPr>
          <w:color w:val="000000" w:themeColor="text1"/>
        </w:rPr>
        <w:t xml:space="preserve"> года направить в адрес </w:t>
      </w:r>
      <w:r>
        <w:rPr>
          <w:color w:val="000000" w:themeColor="text1"/>
        </w:rPr>
        <w:t xml:space="preserve">привлеченных к участию в деле </w:t>
      </w:r>
      <w:r w:rsidRPr="00C20548">
        <w:rPr>
          <w:color w:val="000000" w:themeColor="text1"/>
        </w:rPr>
        <w:t>треть</w:t>
      </w:r>
      <w:r>
        <w:rPr>
          <w:color w:val="000000" w:themeColor="text1"/>
        </w:rPr>
        <w:t>их</w:t>
      </w:r>
      <w:r w:rsidRPr="00C20548">
        <w:rPr>
          <w:color w:val="000000" w:themeColor="text1"/>
        </w:rPr>
        <w:t xml:space="preserve"> лиц исковое заявление и копии документов, прилагаемых к нему. </w:t>
      </w:r>
      <w:r>
        <w:rPr>
          <w:color w:val="000000" w:themeColor="text1"/>
        </w:rPr>
        <w:t>Доказательства направления указанных документов представить в судебное заседание.</w:t>
      </w:r>
    </w:p>
    <w:p w:rsidR="007D7226" w:rsidRDefault="00DA14F0" w:rsidP="00782D38">
      <w:pPr>
        <w:pStyle w:val="af"/>
        <w:ind w:left="-142" w:firstLine="426"/>
        <w:jc w:val="both"/>
      </w:pPr>
      <w:r>
        <w:t>3.</w:t>
      </w:r>
      <w:r w:rsidR="007D7226" w:rsidRPr="00F73B64">
        <w:t>Отложить рассмотрение дела №</w:t>
      </w:r>
      <w:r w:rsidR="00214DEF">
        <w:t>877</w:t>
      </w:r>
      <w:r w:rsidR="007D7226" w:rsidRPr="00F73B64">
        <w:t xml:space="preserve">/20-02  </w:t>
      </w:r>
      <w:r w:rsidR="007D7226" w:rsidRPr="00E71E4D">
        <w:rPr>
          <w:b/>
        </w:rPr>
        <w:t xml:space="preserve">на </w:t>
      </w:r>
      <w:r w:rsidRPr="00E71E4D">
        <w:rPr>
          <w:b/>
        </w:rPr>
        <w:t>25</w:t>
      </w:r>
      <w:r w:rsidR="007D7226" w:rsidRPr="00E71E4D">
        <w:rPr>
          <w:b/>
        </w:rPr>
        <w:t xml:space="preserve"> </w:t>
      </w:r>
      <w:r w:rsidR="00214DEF" w:rsidRPr="00E71E4D">
        <w:rPr>
          <w:b/>
        </w:rPr>
        <w:t>февраля</w:t>
      </w:r>
      <w:r w:rsidR="007D7226" w:rsidRPr="00E71E4D">
        <w:rPr>
          <w:b/>
        </w:rPr>
        <w:t xml:space="preserve"> 202</w:t>
      </w:r>
      <w:r w:rsidR="00214DEF" w:rsidRPr="00E71E4D">
        <w:rPr>
          <w:b/>
        </w:rPr>
        <w:t>1</w:t>
      </w:r>
      <w:r w:rsidR="007D7226" w:rsidRPr="00E71E4D">
        <w:rPr>
          <w:b/>
        </w:rPr>
        <w:t xml:space="preserve"> года на </w:t>
      </w:r>
      <w:r w:rsidR="00214DEF" w:rsidRPr="00E71E4D">
        <w:rPr>
          <w:b/>
        </w:rPr>
        <w:t>10</w:t>
      </w:r>
      <w:r w:rsidR="007D7226" w:rsidRPr="00E71E4D">
        <w:rPr>
          <w:b/>
        </w:rPr>
        <w:t>.</w:t>
      </w:r>
      <w:r w:rsidR="00214DEF" w:rsidRPr="00E71E4D">
        <w:rPr>
          <w:b/>
        </w:rPr>
        <w:t>3</w:t>
      </w:r>
      <w:r w:rsidR="007D7226" w:rsidRPr="00E71E4D">
        <w:rPr>
          <w:b/>
        </w:rPr>
        <w:t>0 часов</w:t>
      </w:r>
      <w:r w:rsidR="007D7226" w:rsidRPr="00F73B64">
        <w:t xml:space="preserve">  в здании Арбитражного суда Приднестровской Молдавской Республики по адресу: г.Тирасполь, ул. Ленина, 1/2, каб. 307. </w:t>
      </w:r>
    </w:p>
    <w:p w:rsidR="00DA14F0" w:rsidRPr="00E71E4D" w:rsidRDefault="00DA14F0" w:rsidP="00782D38">
      <w:pPr>
        <w:ind w:left="-142" w:firstLine="426"/>
        <w:jc w:val="both"/>
      </w:pPr>
      <w:r w:rsidRPr="00E71E4D">
        <w:rPr>
          <w:color w:val="000000" w:themeColor="text1"/>
        </w:rPr>
        <w:t xml:space="preserve">4.Копии данного определения, а также определения о принятии дела к производству суда от 30 декабря 2020 г. направить в адрес привлеченных к участию в деле третьих лиц: </w:t>
      </w:r>
      <w:r w:rsidRPr="00E71E4D">
        <w:t>Финансового управления г.Рыбница и Рыбницкого района Министерства финансов ПМР (г.Рыбница Проспект Победы, 4) и  Рыбницкого городского и районного совета народных депутатов (г.Рыбница Проспект Победы, 4).</w:t>
      </w:r>
    </w:p>
    <w:p w:rsidR="00BF7322" w:rsidRPr="00F73B64" w:rsidRDefault="00BF7322" w:rsidP="00782D38">
      <w:pPr>
        <w:pStyle w:val="af"/>
        <w:ind w:left="-142" w:firstLine="426"/>
        <w:jc w:val="both"/>
      </w:pPr>
      <w:r w:rsidRPr="00E71E4D">
        <w:t xml:space="preserve">Определение </w:t>
      </w:r>
      <w:r w:rsidR="00DA14F0" w:rsidRPr="00E71E4D">
        <w:t>о</w:t>
      </w:r>
      <w:r w:rsidRPr="00E71E4D">
        <w:t>бжал</w:t>
      </w:r>
      <w:r w:rsidR="00DA14F0" w:rsidRPr="00E71E4D">
        <w:t>ованию не подлежит</w:t>
      </w:r>
      <w:r w:rsidRPr="00E71E4D">
        <w:t>.</w:t>
      </w:r>
      <w:r w:rsidRPr="00F73B64">
        <w:t xml:space="preserve"> </w:t>
      </w:r>
    </w:p>
    <w:p w:rsidR="00BF7322" w:rsidRPr="00214DEF" w:rsidRDefault="00BF7322" w:rsidP="00782D38">
      <w:pPr>
        <w:pStyle w:val="af"/>
        <w:ind w:left="-142" w:firstLine="426"/>
        <w:jc w:val="both"/>
        <w:rPr>
          <w:b/>
        </w:rPr>
      </w:pPr>
    </w:p>
    <w:p w:rsidR="00BF7322" w:rsidRPr="00214DEF" w:rsidRDefault="00BF7322" w:rsidP="00782D38">
      <w:pPr>
        <w:pStyle w:val="af"/>
        <w:ind w:left="-142" w:firstLine="426"/>
        <w:jc w:val="both"/>
        <w:rPr>
          <w:b/>
        </w:rPr>
      </w:pPr>
      <w:r w:rsidRPr="00214DEF">
        <w:rPr>
          <w:b/>
        </w:rPr>
        <w:t>Судья Арбитражного суда</w:t>
      </w:r>
    </w:p>
    <w:p w:rsidR="00BF7322" w:rsidRDefault="00BF7322" w:rsidP="00782D38">
      <w:pPr>
        <w:pStyle w:val="af"/>
        <w:ind w:left="-142" w:firstLine="426"/>
        <w:rPr>
          <w:b/>
        </w:rPr>
      </w:pPr>
      <w:r w:rsidRPr="00214DEF">
        <w:rPr>
          <w:b/>
        </w:rPr>
        <w:t xml:space="preserve">Приднестровской Молдавской Республики  </w:t>
      </w:r>
      <w:r w:rsidR="00782D38">
        <w:rPr>
          <w:b/>
        </w:rPr>
        <w:t xml:space="preserve"> </w:t>
      </w:r>
      <w:r w:rsidR="00214DEF">
        <w:rPr>
          <w:b/>
        </w:rPr>
        <w:t xml:space="preserve">          </w:t>
      </w:r>
      <w:r w:rsidRPr="00214DEF">
        <w:rPr>
          <w:b/>
        </w:rPr>
        <w:t xml:space="preserve">      </w:t>
      </w:r>
      <w:r w:rsidR="005043B3" w:rsidRPr="00214DEF">
        <w:rPr>
          <w:b/>
        </w:rPr>
        <w:t xml:space="preserve">          </w:t>
      </w:r>
      <w:r w:rsidRPr="00214DEF">
        <w:rPr>
          <w:b/>
        </w:rPr>
        <w:t xml:space="preserve"> </w:t>
      </w:r>
      <w:r w:rsidR="005043B3" w:rsidRPr="00214DEF">
        <w:rPr>
          <w:b/>
        </w:rPr>
        <w:t xml:space="preserve">  </w:t>
      </w:r>
      <w:r w:rsidRPr="00214DEF">
        <w:rPr>
          <w:b/>
        </w:rPr>
        <w:t>Е.В.Качуровская</w:t>
      </w:r>
    </w:p>
    <w:p w:rsidR="00DA14F0" w:rsidRDefault="00DA14F0" w:rsidP="00782D38">
      <w:pPr>
        <w:pStyle w:val="af"/>
        <w:ind w:left="-142" w:firstLine="426"/>
        <w:jc w:val="center"/>
        <w:rPr>
          <w:b/>
        </w:rPr>
      </w:pPr>
    </w:p>
    <w:p w:rsidR="00DA14F0" w:rsidRPr="00214DEF" w:rsidRDefault="00DA14F0" w:rsidP="00782D38">
      <w:pPr>
        <w:pStyle w:val="af"/>
        <w:ind w:left="-142" w:firstLine="426"/>
        <w:jc w:val="center"/>
        <w:rPr>
          <w:b/>
        </w:rPr>
      </w:pPr>
    </w:p>
    <w:p w:rsidR="00BF7322" w:rsidRDefault="00BF7322" w:rsidP="0009620A">
      <w:pPr>
        <w:ind w:left="567" w:right="-58" w:firstLine="709"/>
        <w:jc w:val="both"/>
        <w:rPr>
          <w:b/>
        </w:rPr>
      </w:pPr>
    </w:p>
    <w:sectPr w:rsidR="00BF7322" w:rsidSect="00F73B64">
      <w:footerReference w:type="default" r:id="rId9"/>
      <w:pgSz w:w="11906" w:h="16838"/>
      <w:pgMar w:top="720" w:right="851"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2A19" w:rsidRDefault="00F02A19" w:rsidP="00747910">
      <w:r>
        <w:separator/>
      </w:r>
    </w:p>
  </w:endnote>
  <w:endnote w:type="continuationSeparator" w:id="1">
    <w:p w:rsidR="00F02A19" w:rsidRDefault="00F02A19"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804CD8" w:rsidRDefault="00804CD8" w:rsidP="00804CD8">
    <w:pPr>
      <w:pStyle w:val="a7"/>
    </w:pPr>
  </w:p>
  <w:p w:rsidR="00804CD8" w:rsidRDefault="00052002">
    <w:pPr>
      <w:pStyle w:val="a7"/>
      <w:jc w:val="right"/>
    </w:pPr>
    <w:fldSimple w:instr=" PAGE   \* MERGEFORMAT ">
      <w:r w:rsidR="006E0A9A">
        <w:rPr>
          <w:noProof/>
        </w:rPr>
        <w:t>3</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2A19" w:rsidRDefault="00F02A19" w:rsidP="00747910">
      <w:r>
        <w:separator/>
      </w:r>
    </w:p>
  </w:footnote>
  <w:footnote w:type="continuationSeparator" w:id="1">
    <w:p w:rsidR="00F02A19" w:rsidRDefault="00F02A19"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6964EE8"/>
    <w:multiLevelType w:val="hybridMultilevel"/>
    <w:tmpl w:val="FAF2C4E6"/>
    <w:lvl w:ilvl="0" w:tplc="121AD138">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10245A8"/>
    <w:multiLevelType w:val="hybridMultilevel"/>
    <w:tmpl w:val="E982E66C"/>
    <w:lvl w:ilvl="0" w:tplc="D6EE010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7376A75"/>
    <w:multiLevelType w:val="hybridMultilevel"/>
    <w:tmpl w:val="FAF2C4E6"/>
    <w:lvl w:ilvl="0" w:tplc="121AD138">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0"/>
  </w:num>
  <w:num w:numId="3">
    <w:abstractNumId w:val="5"/>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stylePaneFormatFilter w:val="3F01"/>
  <w:defaultTabStop w:val="708"/>
  <w:noPunctuationKerning/>
  <w:characterSpacingControl w:val="doNotCompress"/>
  <w:hdrShapeDefaults>
    <o:shapedefaults v:ext="edit" spidmax="73730"/>
  </w:hdrShapeDefaults>
  <w:footnotePr>
    <w:footnote w:id="0"/>
    <w:footnote w:id="1"/>
  </w:footnotePr>
  <w:endnotePr>
    <w:endnote w:id="0"/>
    <w:endnote w:id="1"/>
  </w:endnotePr>
  <w:compat/>
  <w:rsids>
    <w:rsidRoot w:val="000C4195"/>
    <w:rsid w:val="00011073"/>
    <w:rsid w:val="000126C2"/>
    <w:rsid w:val="000366AF"/>
    <w:rsid w:val="000400F3"/>
    <w:rsid w:val="00045405"/>
    <w:rsid w:val="00045A0B"/>
    <w:rsid w:val="00052002"/>
    <w:rsid w:val="000637A6"/>
    <w:rsid w:val="00080B6B"/>
    <w:rsid w:val="00081B5A"/>
    <w:rsid w:val="0008300A"/>
    <w:rsid w:val="00085128"/>
    <w:rsid w:val="00091ECB"/>
    <w:rsid w:val="0009620A"/>
    <w:rsid w:val="000A7923"/>
    <w:rsid w:val="000B5210"/>
    <w:rsid w:val="000C4195"/>
    <w:rsid w:val="000C512D"/>
    <w:rsid w:val="000C64A5"/>
    <w:rsid w:val="000E2672"/>
    <w:rsid w:val="000E5906"/>
    <w:rsid w:val="000F183A"/>
    <w:rsid w:val="000F31FD"/>
    <w:rsid w:val="00104D54"/>
    <w:rsid w:val="0012080B"/>
    <w:rsid w:val="00162333"/>
    <w:rsid w:val="00165B73"/>
    <w:rsid w:val="00181BA6"/>
    <w:rsid w:val="001822F2"/>
    <w:rsid w:val="001823B7"/>
    <w:rsid w:val="0018770D"/>
    <w:rsid w:val="0019237E"/>
    <w:rsid w:val="00195257"/>
    <w:rsid w:val="001979FD"/>
    <w:rsid w:val="001A48C1"/>
    <w:rsid w:val="001B30A8"/>
    <w:rsid w:val="001B62EA"/>
    <w:rsid w:val="001C0D5F"/>
    <w:rsid w:val="001C1B4F"/>
    <w:rsid w:val="001D3D23"/>
    <w:rsid w:val="001E45FA"/>
    <w:rsid w:val="001F5849"/>
    <w:rsid w:val="00205972"/>
    <w:rsid w:val="00212E13"/>
    <w:rsid w:val="00214DEF"/>
    <w:rsid w:val="00223878"/>
    <w:rsid w:val="00227353"/>
    <w:rsid w:val="002431E5"/>
    <w:rsid w:val="002434A8"/>
    <w:rsid w:val="0026059C"/>
    <w:rsid w:val="00261407"/>
    <w:rsid w:val="00270CED"/>
    <w:rsid w:val="00277AEF"/>
    <w:rsid w:val="002828CA"/>
    <w:rsid w:val="00285F01"/>
    <w:rsid w:val="00292935"/>
    <w:rsid w:val="002935E2"/>
    <w:rsid w:val="002A1786"/>
    <w:rsid w:val="002B5E5D"/>
    <w:rsid w:val="002D09CB"/>
    <w:rsid w:val="002D1EC5"/>
    <w:rsid w:val="002D2926"/>
    <w:rsid w:val="002D6295"/>
    <w:rsid w:val="002E0357"/>
    <w:rsid w:val="002E193F"/>
    <w:rsid w:val="002F0A0D"/>
    <w:rsid w:val="00303D72"/>
    <w:rsid w:val="00311870"/>
    <w:rsid w:val="00325520"/>
    <w:rsid w:val="003331A5"/>
    <w:rsid w:val="003558DC"/>
    <w:rsid w:val="00365A17"/>
    <w:rsid w:val="00381CF3"/>
    <w:rsid w:val="003A617A"/>
    <w:rsid w:val="003B6264"/>
    <w:rsid w:val="003C0922"/>
    <w:rsid w:val="003E2B73"/>
    <w:rsid w:val="003F304F"/>
    <w:rsid w:val="00424065"/>
    <w:rsid w:val="0042556E"/>
    <w:rsid w:val="0043022E"/>
    <w:rsid w:val="00435D1A"/>
    <w:rsid w:val="00437FF4"/>
    <w:rsid w:val="00440CB8"/>
    <w:rsid w:val="00444EB1"/>
    <w:rsid w:val="0045590A"/>
    <w:rsid w:val="00462D10"/>
    <w:rsid w:val="00474C10"/>
    <w:rsid w:val="00481B56"/>
    <w:rsid w:val="00485A7C"/>
    <w:rsid w:val="004A01C7"/>
    <w:rsid w:val="004B0F41"/>
    <w:rsid w:val="004C56EA"/>
    <w:rsid w:val="004C701C"/>
    <w:rsid w:val="004F7B6D"/>
    <w:rsid w:val="00503476"/>
    <w:rsid w:val="005043B3"/>
    <w:rsid w:val="0051667D"/>
    <w:rsid w:val="00531BFC"/>
    <w:rsid w:val="00533BE1"/>
    <w:rsid w:val="00554B3A"/>
    <w:rsid w:val="00567797"/>
    <w:rsid w:val="005A6736"/>
    <w:rsid w:val="005B665C"/>
    <w:rsid w:val="00605EA7"/>
    <w:rsid w:val="00606082"/>
    <w:rsid w:val="00612F4D"/>
    <w:rsid w:val="006478E4"/>
    <w:rsid w:val="006526EB"/>
    <w:rsid w:val="0066051F"/>
    <w:rsid w:val="00693F87"/>
    <w:rsid w:val="00694E57"/>
    <w:rsid w:val="006976EB"/>
    <w:rsid w:val="006A1339"/>
    <w:rsid w:val="006A5E49"/>
    <w:rsid w:val="006C6D2B"/>
    <w:rsid w:val="006C7909"/>
    <w:rsid w:val="006D4A80"/>
    <w:rsid w:val="006E0A9A"/>
    <w:rsid w:val="006E570D"/>
    <w:rsid w:val="006F14B3"/>
    <w:rsid w:val="006F1DF0"/>
    <w:rsid w:val="007005CA"/>
    <w:rsid w:val="00710036"/>
    <w:rsid w:val="00717526"/>
    <w:rsid w:val="00746764"/>
    <w:rsid w:val="00747910"/>
    <w:rsid w:val="00750035"/>
    <w:rsid w:val="0075091C"/>
    <w:rsid w:val="0078061E"/>
    <w:rsid w:val="00781009"/>
    <w:rsid w:val="00782D38"/>
    <w:rsid w:val="00791858"/>
    <w:rsid w:val="007A51C3"/>
    <w:rsid w:val="007A614C"/>
    <w:rsid w:val="007C0CE8"/>
    <w:rsid w:val="007C124E"/>
    <w:rsid w:val="007C46FF"/>
    <w:rsid w:val="007D7226"/>
    <w:rsid w:val="007F5D91"/>
    <w:rsid w:val="007F6115"/>
    <w:rsid w:val="00803B0E"/>
    <w:rsid w:val="00804CD8"/>
    <w:rsid w:val="00813A13"/>
    <w:rsid w:val="00814D4F"/>
    <w:rsid w:val="00821468"/>
    <w:rsid w:val="008273B9"/>
    <w:rsid w:val="00833454"/>
    <w:rsid w:val="008452B7"/>
    <w:rsid w:val="00846717"/>
    <w:rsid w:val="0085504A"/>
    <w:rsid w:val="00866AE3"/>
    <w:rsid w:val="008877A9"/>
    <w:rsid w:val="008935F8"/>
    <w:rsid w:val="00897759"/>
    <w:rsid w:val="008A0507"/>
    <w:rsid w:val="008A11D6"/>
    <w:rsid w:val="008D2738"/>
    <w:rsid w:val="008D34DD"/>
    <w:rsid w:val="008F4F8B"/>
    <w:rsid w:val="008F60C5"/>
    <w:rsid w:val="008F64F3"/>
    <w:rsid w:val="0090045E"/>
    <w:rsid w:val="00900716"/>
    <w:rsid w:val="00903238"/>
    <w:rsid w:val="00904994"/>
    <w:rsid w:val="00917458"/>
    <w:rsid w:val="00926900"/>
    <w:rsid w:val="00947C3B"/>
    <w:rsid w:val="00991CBB"/>
    <w:rsid w:val="00997222"/>
    <w:rsid w:val="009977D8"/>
    <w:rsid w:val="009B1FD7"/>
    <w:rsid w:val="009B5C25"/>
    <w:rsid w:val="009B61B4"/>
    <w:rsid w:val="009C3BE2"/>
    <w:rsid w:val="009D69D3"/>
    <w:rsid w:val="009F37CE"/>
    <w:rsid w:val="00A032B6"/>
    <w:rsid w:val="00A246E5"/>
    <w:rsid w:val="00A33535"/>
    <w:rsid w:val="00A42F10"/>
    <w:rsid w:val="00A45BF9"/>
    <w:rsid w:val="00A46854"/>
    <w:rsid w:val="00A654E1"/>
    <w:rsid w:val="00A74578"/>
    <w:rsid w:val="00A80E5C"/>
    <w:rsid w:val="00A92C7C"/>
    <w:rsid w:val="00AA05B6"/>
    <w:rsid w:val="00AB326C"/>
    <w:rsid w:val="00AB632B"/>
    <w:rsid w:val="00AC58DE"/>
    <w:rsid w:val="00AC6E73"/>
    <w:rsid w:val="00AD4BF0"/>
    <w:rsid w:val="00AE1E59"/>
    <w:rsid w:val="00AE51C6"/>
    <w:rsid w:val="00AF591D"/>
    <w:rsid w:val="00B07D65"/>
    <w:rsid w:val="00B10265"/>
    <w:rsid w:val="00B15B03"/>
    <w:rsid w:val="00B2269C"/>
    <w:rsid w:val="00B34013"/>
    <w:rsid w:val="00B47CD7"/>
    <w:rsid w:val="00B53400"/>
    <w:rsid w:val="00B53DF1"/>
    <w:rsid w:val="00B564AA"/>
    <w:rsid w:val="00B71CCE"/>
    <w:rsid w:val="00B7249F"/>
    <w:rsid w:val="00B94364"/>
    <w:rsid w:val="00BD306D"/>
    <w:rsid w:val="00BE7BA6"/>
    <w:rsid w:val="00BF7322"/>
    <w:rsid w:val="00C24CF6"/>
    <w:rsid w:val="00C3734A"/>
    <w:rsid w:val="00C43442"/>
    <w:rsid w:val="00C4443F"/>
    <w:rsid w:val="00C502E5"/>
    <w:rsid w:val="00C518EB"/>
    <w:rsid w:val="00C52E1E"/>
    <w:rsid w:val="00C5718C"/>
    <w:rsid w:val="00C72F9D"/>
    <w:rsid w:val="00C77370"/>
    <w:rsid w:val="00C849F3"/>
    <w:rsid w:val="00C873E3"/>
    <w:rsid w:val="00CA1791"/>
    <w:rsid w:val="00CC555F"/>
    <w:rsid w:val="00CC737D"/>
    <w:rsid w:val="00CD637D"/>
    <w:rsid w:val="00CE0A37"/>
    <w:rsid w:val="00CF4DCA"/>
    <w:rsid w:val="00D0688E"/>
    <w:rsid w:val="00D2564A"/>
    <w:rsid w:val="00D339AC"/>
    <w:rsid w:val="00D41468"/>
    <w:rsid w:val="00D640E8"/>
    <w:rsid w:val="00D65134"/>
    <w:rsid w:val="00D65600"/>
    <w:rsid w:val="00D726D4"/>
    <w:rsid w:val="00D90A20"/>
    <w:rsid w:val="00D91998"/>
    <w:rsid w:val="00D96E34"/>
    <w:rsid w:val="00DA14F0"/>
    <w:rsid w:val="00DA6EC0"/>
    <w:rsid w:val="00DA7979"/>
    <w:rsid w:val="00DD30D9"/>
    <w:rsid w:val="00DF4C6A"/>
    <w:rsid w:val="00E020DE"/>
    <w:rsid w:val="00E10EEF"/>
    <w:rsid w:val="00E25672"/>
    <w:rsid w:val="00E265BC"/>
    <w:rsid w:val="00E267AF"/>
    <w:rsid w:val="00E37C05"/>
    <w:rsid w:val="00E37FF1"/>
    <w:rsid w:val="00E47763"/>
    <w:rsid w:val="00E6678D"/>
    <w:rsid w:val="00E67E5E"/>
    <w:rsid w:val="00E715EC"/>
    <w:rsid w:val="00E71E4D"/>
    <w:rsid w:val="00E76C3A"/>
    <w:rsid w:val="00E77BBC"/>
    <w:rsid w:val="00E87E1C"/>
    <w:rsid w:val="00E90DB1"/>
    <w:rsid w:val="00E92C98"/>
    <w:rsid w:val="00E975E9"/>
    <w:rsid w:val="00ED67B4"/>
    <w:rsid w:val="00F02A19"/>
    <w:rsid w:val="00F13710"/>
    <w:rsid w:val="00F14E1C"/>
    <w:rsid w:val="00F16008"/>
    <w:rsid w:val="00F2317E"/>
    <w:rsid w:val="00F2401C"/>
    <w:rsid w:val="00F253A2"/>
    <w:rsid w:val="00F341D3"/>
    <w:rsid w:val="00F354AA"/>
    <w:rsid w:val="00F64381"/>
    <w:rsid w:val="00F72C4D"/>
    <w:rsid w:val="00F73B64"/>
    <w:rsid w:val="00F91EE1"/>
    <w:rsid w:val="00F92BB5"/>
    <w:rsid w:val="00FA6E55"/>
    <w:rsid w:val="00FB599A"/>
    <w:rsid w:val="00FC10E4"/>
    <w:rsid w:val="00FC13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3730"/>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Знак3,Зн, "/>
    <w:basedOn w:val="a"/>
    <w:link w:val="1"/>
    <w:rsid w:val="003B6264"/>
    <w:rPr>
      <w:rFonts w:ascii="Courier New" w:hAnsi="Courier New" w:cs="Courier New"/>
      <w:sz w:val="20"/>
      <w:szCs w:val="20"/>
    </w:rPr>
  </w:style>
  <w:style w:type="character" w:customStyle="1" w:styleId="ab">
    <w:name w:val="Текст Знак"/>
    <w:aliases w:val=" Знак Знак2,Текст Знак2 Знак1,Текст Знак1 Знак Знак Знак1,Текст Знак Знак Знак Знак Знак1,Знак Знак Знак Знак Знак Знак1,Знак Знак Знак Знак1 Знак1, Знак Знак Знак1, Знак Знак Знак Знак Знак Знак1,Знак Знак Знак1,Текст Знак1 Знак1 Знак1"/>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 w:type="character" w:customStyle="1" w:styleId="margin">
    <w:name w:val="margin"/>
    <w:basedOn w:val="a0"/>
    <w:rsid w:val="00E25672"/>
    <w:rPr>
      <w:rFonts w:cs="Times New Roman"/>
    </w:rPr>
  </w:style>
  <w:style w:type="paragraph" w:styleId="af">
    <w:name w:val="No Spacing"/>
    <w:uiPriority w:val="1"/>
    <w:qFormat/>
    <w:rsid w:val="000366AF"/>
    <w:rPr>
      <w:sz w:val="24"/>
      <w:szCs w:val="24"/>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217739436">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0587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CB832-1B13-486E-BEED-C14B2AC3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937</Words>
  <Characters>5346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6271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13</cp:revision>
  <cp:lastPrinted>2021-02-15T07:15:00Z</cp:lastPrinted>
  <dcterms:created xsi:type="dcterms:W3CDTF">2021-02-12T10:04:00Z</dcterms:created>
  <dcterms:modified xsi:type="dcterms:W3CDTF">2021-02-15T07:18:00Z</dcterms:modified>
</cp:coreProperties>
</file>