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D77F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CA3910">
            <w:pPr>
              <w:rPr>
                <w:rFonts w:eastAsia="Calibri"/>
                <w:bCs/>
                <w:sz w:val="20"/>
                <w:szCs w:val="20"/>
                <w:u w:val="single"/>
              </w:rPr>
            </w:pPr>
            <w:r w:rsidRPr="00FB6E98">
              <w:rPr>
                <w:rFonts w:eastAsia="Calibri"/>
                <w:u w:val="single"/>
              </w:rPr>
              <w:t>«</w:t>
            </w:r>
            <w:r w:rsidR="00FB6E98" w:rsidRPr="00FB6E98">
              <w:rPr>
                <w:rFonts w:eastAsia="Calibri"/>
                <w:u w:val="single"/>
              </w:rPr>
              <w:t>0</w:t>
            </w:r>
            <w:r w:rsidR="00CA3910">
              <w:rPr>
                <w:rFonts w:eastAsia="Calibri"/>
                <w:u w:val="single"/>
              </w:rPr>
              <w:t>1</w:t>
            </w:r>
            <w:r w:rsidRPr="00FB6E98">
              <w:rPr>
                <w:rFonts w:eastAsia="Calibri"/>
                <w:u w:val="single"/>
              </w:rPr>
              <w:t>»</w:t>
            </w:r>
            <w:r>
              <w:rPr>
                <w:rFonts w:eastAsia="Calibri"/>
              </w:rPr>
              <w:t xml:space="preserve"> </w:t>
            </w:r>
            <w:r w:rsidR="00CA3910">
              <w:rPr>
                <w:rFonts w:eastAsia="Calibri"/>
                <w:u w:val="single"/>
              </w:rPr>
              <w:t>декабря</w:t>
            </w:r>
            <w:r>
              <w:rPr>
                <w:rFonts w:eastAsia="Calibri"/>
                <w:u w:val="single"/>
              </w:rPr>
              <w:t xml:space="preserve"> 2020 года</w:t>
            </w:r>
          </w:p>
        </w:tc>
        <w:tc>
          <w:tcPr>
            <w:tcW w:w="4971" w:type="dxa"/>
            <w:gridSpan w:val="3"/>
            <w:hideMark/>
          </w:tcPr>
          <w:p w:rsidR="00EB40AB" w:rsidRDefault="00EB40AB" w:rsidP="00CA3910">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Pr="00697CD3">
              <w:rPr>
                <w:rFonts w:eastAsia="Calibri"/>
                <w:sz w:val="20"/>
                <w:szCs w:val="20"/>
                <w:u w:val="single"/>
              </w:rPr>
              <w:t xml:space="preserve"> </w:t>
            </w:r>
            <w:r w:rsidRPr="00697CD3">
              <w:rPr>
                <w:rFonts w:eastAsia="Calibri"/>
                <w:u w:val="single"/>
              </w:rPr>
              <w:t xml:space="preserve"> </w:t>
            </w:r>
            <w:r w:rsidR="00CA3910">
              <w:rPr>
                <w:rFonts w:eastAsia="Calibri"/>
                <w:u w:val="single"/>
              </w:rPr>
              <w:t>827</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w:t>
      </w:r>
      <w:r w:rsidR="00CA3910">
        <w:t>заявления открытого акционерного общества «Агенство по оздоровлению банковской системы»  (г.Тирасполь, ул.25 Октября,71) о признании незаконным бездействия Государственной администрации г.Бендеры (г.Бендеры ул.Ленина,17)</w:t>
      </w:r>
      <w:r w:rsidR="00CA3910">
        <w:rPr>
          <w:color w:val="000000" w:themeColor="text1"/>
        </w:rPr>
        <w:t>,</w:t>
      </w:r>
      <w:r w:rsidR="00FB6E98">
        <w:t xml:space="preserve"> а так</w:t>
      </w:r>
      <w:r>
        <w:t>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275A64" w:rsidRPr="00A5792D" w:rsidRDefault="00275A64" w:rsidP="00275A64">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t>27 ноября</w:t>
      </w:r>
      <w:r w:rsidRPr="00122E4B">
        <w:t xml:space="preserve"> 2020 года заявление</w:t>
      </w:r>
      <w:r>
        <w:t xml:space="preserve"> ОАО «Агенство по оздоровлению банковской системы» о признании незаконным бездействия Государственной администрации г.Бендеры</w:t>
      </w:r>
      <w:r w:rsidRPr="007476ED">
        <w:rPr>
          <w:color w:val="000000" w:themeColor="text1"/>
        </w:rPr>
        <w:t>,</w:t>
      </w:r>
      <w:r>
        <w:rPr>
          <w:color w:val="000000" w:themeColor="text1"/>
        </w:rPr>
        <w:t xml:space="preserve"> </w:t>
      </w:r>
      <w:r w:rsidRPr="00122E4B">
        <w:t>оставлено без движения</w:t>
      </w:r>
      <w:r>
        <w:t xml:space="preserve"> ввиду несоблюдения требований ст.ст.130-11,93 АПК ПМР. Заявителю </w:t>
      </w:r>
      <w:r w:rsidRPr="00A5792D">
        <w:t xml:space="preserve">предложено в срок до </w:t>
      </w:r>
      <w:r>
        <w:t xml:space="preserve">08 декабря </w:t>
      </w:r>
      <w:r w:rsidRPr="00A5792D">
        <w:t xml:space="preserve">2020 года </w:t>
      </w:r>
      <w:r>
        <w:t xml:space="preserve">включительно </w:t>
      </w:r>
      <w:r w:rsidRPr="00A5792D">
        <w:t xml:space="preserve">устранить обстоятельства, послужившие основанием для оставления заявления без движения. </w:t>
      </w:r>
    </w:p>
    <w:p w:rsidR="00275A64" w:rsidRDefault="00275A64" w:rsidP="00275A64">
      <w:pPr>
        <w:ind w:firstLine="720"/>
        <w:jc w:val="both"/>
      </w:pPr>
      <w:r w:rsidRPr="00A5792D">
        <w:t>Во исполнение указанного определения</w:t>
      </w:r>
      <w:r>
        <w:t>,</w:t>
      </w:r>
      <w:r w:rsidRPr="00A5792D">
        <w:t xml:space="preserve"> </w:t>
      </w:r>
      <w:r>
        <w:t>01 декабря</w:t>
      </w:r>
      <w:r w:rsidRPr="00A5792D">
        <w:t xml:space="preserve"> 2020 года </w:t>
      </w:r>
      <w:r>
        <w:t xml:space="preserve">в Арбитражный суд была направлена копия свидетельства о государственной регистрации от 11.03.2019 г. </w:t>
      </w:r>
    </w:p>
    <w:p w:rsidR="00275A64" w:rsidRPr="00A5792D" w:rsidRDefault="00275A64" w:rsidP="00275A64">
      <w:pPr>
        <w:ind w:firstLine="720"/>
        <w:jc w:val="both"/>
      </w:pPr>
      <w:r w:rsidRPr="00A5792D">
        <w:t xml:space="preserve">Учитывая, что </w:t>
      </w:r>
      <w:r>
        <w:t xml:space="preserve">заявителем </w:t>
      </w:r>
      <w:r w:rsidRPr="00A5792D">
        <w:t xml:space="preserve">устранены обстоятельства, послужившие основанием для оставления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EB40AB" w:rsidRDefault="00275A64" w:rsidP="00FA45E6">
      <w:pPr>
        <w:ind w:firstLine="709"/>
        <w:jc w:val="both"/>
      </w:pPr>
      <w:r>
        <w:rPr>
          <w:color w:val="000000" w:themeColor="text1"/>
        </w:rPr>
        <w:t>Р</w:t>
      </w:r>
      <w:r w:rsidR="00EB40AB" w:rsidRPr="00290C50">
        <w:rPr>
          <w:color w:val="000000" w:themeColor="text1"/>
        </w:rPr>
        <w:t>уководствуясь</w:t>
      </w:r>
      <w:r>
        <w:rPr>
          <w:color w:val="000000" w:themeColor="text1"/>
        </w:rPr>
        <w:t xml:space="preserve"> </w:t>
      </w:r>
      <w:r w:rsidR="00EB40AB" w:rsidRPr="00290C50">
        <w:rPr>
          <w:color w:val="000000" w:themeColor="text1"/>
        </w:rPr>
        <w:t xml:space="preserve">статьями </w:t>
      </w:r>
      <w:r>
        <w:rPr>
          <w:color w:val="000000" w:themeColor="text1"/>
        </w:rPr>
        <w:t xml:space="preserve"> </w:t>
      </w:r>
      <w:r w:rsidR="00EB40AB" w:rsidRPr="00290C50">
        <w:rPr>
          <w:color w:val="000000" w:themeColor="text1"/>
        </w:rPr>
        <w:t>95,</w:t>
      </w:r>
      <w:r>
        <w:rPr>
          <w:color w:val="000000" w:themeColor="text1"/>
        </w:rPr>
        <w:t xml:space="preserve"> 96-1 п.3,</w:t>
      </w:r>
      <w:r w:rsidR="00EB40AB" w:rsidRPr="00290C50">
        <w:rPr>
          <w:color w:val="000000" w:themeColor="text1"/>
        </w:rPr>
        <w:t xml:space="preserve"> </w:t>
      </w:r>
      <w:r w:rsidR="00984AAD" w:rsidRPr="00290C50">
        <w:rPr>
          <w:color w:val="000000" w:themeColor="text1"/>
        </w:rPr>
        <w:t>101-</w:t>
      </w:r>
      <w:r w:rsidR="005D3B93" w:rsidRPr="00290C50">
        <w:rPr>
          <w:color w:val="000000" w:themeColor="text1"/>
        </w:rPr>
        <w:t>102</w:t>
      </w:r>
      <w:r w:rsidR="00EB40AB" w:rsidRPr="00290C50">
        <w:rPr>
          <w:color w:val="000000" w:themeColor="text1"/>
        </w:rPr>
        <w:t>-2, 128 Арбитражного процессуального кодекса Приднестровской Молдавской Республики</w:t>
      </w:r>
      <w:r w:rsidR="00EB40AB">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Default="00EB40AB" w:rsidP="00C20548">
      <w:pPr>
        <w:numPr>
          <w:ilvl w:val="0"/>
          <w:numId w:val="5"/>
        </w:numPr>
        <w:ind w:left="0" w:right="-1" w:firstLine="709"/>
        <w:jc w:val="both"/>
        <w:rPr>
          <w:color w:val="000000" w:themeColor="text1"/>
        </w:rPr>
      </w:pPr>
      <w:r w:rsidRPr="00C20548">
        <w:rPr>
          <w:color w:val="000000" w:themeColor="text1"/>
        </w:rPr>
        <w:t xml:space="preserve">Принять </w:t>
      </w:r>
      <w:r w:rsidR="00425080">
        <w:t xml:space="preserve">заявление </w:t>
      </w:r>
      <w:r w:rsidR="00275A64">
        <w:t xml:space="preserve">ОАО «Агенство по оздоровлению банковской системы» </w:t>
      </w:r>
      <w:r w:rsidRPr="00C20548">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425080">
        <w:rPr>
          <w:color w:val="000000" w:themeColor="text1"/>
        </w:rPr>
        <w:t xml:space="preserve"> </w:t>
      </w:r>
      <w:r w:rsidR="00503F16">
        <w:rPr>
          <w:color w:val="000000" w:themeColor="text1"/>
        </w:rPr>
        <w:t xml:space="preserve"> </w:t>
      </w:r>
      <w:r w:rsidR="00275A64" w:rsidRPr="00275A64">
        <w:rPr>
          <w:b/>
          <w:color w:val="000000" w:themeColor="text1"/>
        </w:rPr>
        <w:t xml:space="preserve">17 декабря </w:t>
      </w:r>
      <w:r w:rsidRPr="00275A64">
        <w:rPr>
          <w:b/>
          <w:color w:val="000000" w:themeColor="text1"/>
        </w:rPr>
        <w:t>2020</w:t>
      </w:r>
      <w:r w:rsidRPr="00C20548">
        <w:rPr>
          <w:b/>
          <w:color w:val="000000" w:themeColor="text1"/>
        </w:rPr>
        <w:t xml:space="preserve"> года</w:t>
      </w:r>
      <w:r w:rsidRPr="005D3B93">
        <w:rPr>
          <w:color w:val="000000" w:themeColor="text1"/>
        </w:rPr>
        <w:t xml:space="preserve"> на </w:t>
      </w:r>
      <w:r w:rsidRPr="00C20548">
        <w:rPr>
          <w:b/>
          <w:color w:val="000000" w:themeColor="text1"/>
        </w:rPr>
        <w:t>10.00</w:t>
      </w:r>
      <w:r w:rsidRPr="005D3B93">
        <w:rPr>
          <w:color w:val="000000" w:themeColor="text1"/>
        </w:rPr>
        <w:t xml:space="preserve"> час. в здании</w:t>
      </w:r>
      <w:r>
        <w:t xml:space="preserve"> Арбитражного суда Приднестровской Молдавской Республики по адресу: г. Тирасполь, ул. Ленина, 1/2, каб. </w:t>
      </w:r>
      <w:r w:rsidRPr="00C20548">
        <w:rPr>
          <w:color w:val="000000" w:themeColor="text1"/>
        </w:rPr>
        <w:t>307.</w:t>
      </w:r>
    </w:p>
    <w:p w:rsidR="00275A64" w:rsidRDefault="00275A64" w:rsidP="00FA45E6">
      <w:pPr>
        <w:ind w:right="-1" w:firstLine="709"/>
        <w:jc w:val="both"/>
      </w:pPr>
    </w:p>
    <w:p w:rsidR="00275A64" w:rsidRDefault="00275A64" w:rsidP="00FA45E6">
      <w:pPr>
        <w:ind w:right="-1" w:firstLine="709"/>
        <w:jc w:val="both"/>
      </w:pPr>
    </w:p>
    <w:p w:rsidR="00EB40AB" w:rsidRDefault="005403B4" w:rsidP="00FA45E6">
      <w:pPr>
        <w:ind w:right="-1" w:firstLine="709"/>
        <w:jc w:val="both"/>
      </w:pPr>
      <w:r>
        <w:lastRenderedPageBreak/>
        <w:t>Л</w:t>
      </w:r>
      <w:r w:rsidR="00EB40AB">
        <w:t>иц</w:t>
      </w:r>
      <w:r>
        <w:t>ам</w:t>
      </w:r>
      <w:r w:rsidR="00EB40AB">
        <w:t>, участвующи</w:t>
      </w:r>
      <w:r>
        <w:t>м</w:t>
      </w:r>
      <w:r w:rsidR="00EB40AB">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6B6C81" w:rsidP="00FA45E6">
      <w:pPr>
        <w:keepNext/>
        <w:ind w:right="-1" w:firstLine="709"/>
        <w:jc w:val="both"/>
        <w:outlineLvl w:val="0"/>
      </w:pPr>
      <w:r>
        <w:t>3</w:t>
      </w:r>
      <w:r w:rsidR="00EB40AB">
        <w:t>. Лицам, участвующим в деле, представить следующие документы:</w:t>
      </w:r>
    </w:p>
    <w:p w:rsidR="00EB40AB" w:rsidRDefault="00EB40AB" w:rsidP="00FA45E6">
      <w:pPr>
        <w:ind w:right="-1" w:firstLine="709"/>
        <w:jc w:val="both"/>
      </w:pPr>
      <w:r>
        <w:t xml:space="preserve">- </w:t>
      </w:r>
      <w:r w:rsidR="00275A64">
        <w:t xml:space="preserve"> </w:t>
      </w:r>
      <w:r w:rsidR="00275A64" w:rsidRPr="00275A64">
        <w:rPr>
          <w:b/>
        </w:rPr>
        <w:t>представителю</w:t>
      </w:r>
      <w:r w:rsidR="00275A64">
        <w:t xml:space="preserve"> </w:t>
      </w:r>
      <w:r w:rsidR="00275A64">
        <w:rPr>
          <w:b/>
        </w:rPr>
        <w:t>заявителя</w:t>
      </w:r>
      <w:r w:rsidR="00425080">
        <w:t xml:space="preserve"> </w:t>
      </w:r>
      <w:r>
        <w:t>представить в судебное заседание для обозрения оригиналы документов, приложенны</w:t>
      </w:r>
      <w:r w:rsidR="008A0EA5">
        <w:t>х</w:t>
      </w:r>
      <w:r>
        <w:t xml:space="preserve"> к заявлению в копиях;</w:t>
      </w:r>
    </w:p>
    <w:p w:rsidR="00EB40AB" w:rsidRDefault="00EB40AB" w:rsidP="00E31514">
      <w:pPr>
        <w:ind w:right="-1" w:firstLine="709"/>
        <w:jc w:val="both"/>
      </w:pPr>
      <w:r>
        <w:t xml:space="preserve">- </w:t>
      </w:r>
      <w:r w:rsidR="00275A64" w:rsidRPr="00275A64">
        <w:rPr>
          <w:b/>
        </w:rPr>
        <w:t>представителю</w:t>
      </w:r>
      <w:r w:rsidR="00275A64">
        <w:t xml:space="preserve"> </w:t>
      </w:r>
      <w:r w:rsidR="00275A64">
        <w:rPr>
          <w:b/>
        </w:rPr>
        <w:t>государственной администрации</w:t>
      </w:r>
      <w:r w:rsidR="00425080">
        <w:rPr>
          <w:b/>
        </w:rPr>
        <w:t xml:space="preserve"> </w:t>
      </w:r>
      <w:r>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425080">
        <w:t>заявителю</w:t>
      </w:r>
      <w:r>
        <w:t xml:space="preserve"> отзыва </w:t>
      </w:r>
      <w:r w:rsidR="00425080">
        <w:t xml:space="preserve">и прилагаемых к нему документов, </w:t>
      </w:r>
    </w:p>
    <w:p w:rsidR="005E0BA9" w:rsidRPr="00C77025" w:rsidRDefault="006B6C81" w:rsidP="005C7271">
      <w:pPr>
        <w:ind w:right="-1" w:firstLine="709"/>
        <w:jc w:val="both"/>
      </w:pPr>
      <w:r>
        <w:t>4</w:t>
      </w:r>
      <w:r w:rsidR="00EB40AB">
        <w:t xml:space="preserve">. </w:t>
      </w:r>
      <w:r w:rsidR="005C7271" w:rsidRPr="00C77025">
        <w:t xml:space="preserve">Разъяснить </w:t>
      </w:r>
      <w:r w:rsidR="00275A64">
        <w:t xml:space="preserve">государственной администрации г.Бендеры </w:t>
      </w:r>
      <w:r w:rsidR="005C7271" w:rsidRPr="00C77025">
        <w:t>положения п</w:t>
      </w:r>
      <w:r w:rsidR="005C7271">
        <w:t xml:space="preserve">ункта </w:t>
      </w:r>
      <w:r w:rsidR="005C7271" w:rsidRPr="00C77025">
        <w:t xml:space="preserve">4 статьи 130-12 </w:t>
      </w:r>
      <w:r w:rsidR="004126DF">
        <w:t>Арбитражного процессуального кодекса Приднестровской Молдавской Республики</w:t>
      </w:r>
      <w:r w:rsidR="005C7271" w:rsidRPr="00C77025">
        <w:t xml:space="preserve">, согласно которому обязанность доказывания законности </w:t>
      </w:r>
      <w:r w:rsidR="005E0BA9">
        <w:t>не</w:t>
      </w:r>
      <w:r w:rsidR="005C7271" w:rsidRPr="00C77025">
        <w:t>принятия решения</w:t>
      </w:r>
      <w:r w:rsidR="005E0BA9">
        <w:t xml:space="preserve"> по заявлению</w:t>
      </w:r>
      <w:r w:rsidR="005C7271" w:rsidRPr="00C77025">
        <w:t>, наличия надлежащих полномочий</w:t>
      </w:r>
      <w:r w:rsidR="005E0BA9">
        <w:t xml:space="preserve"> на рассмотрение заявления</w:t>
      </w:r>
      <w:r w:rsidR="00FF661C">
        <w:t xml:space="preserve">, </w:t>
      </w:r>
      <w:r w:rsidR="005C7271" w:rsidRPr="00C77025">
        <w:t xml:space="preserve">возлагается </w:t>
      </w:r>
      <w:r w:rsidR="005E0BA9">
        <w:t>на государственную администрацию.</w:t>
      </w:r>
    </w:p>
    <w:p w:rsidR="00EB40AB" w:rsidRDefault="006B6C81" w:rsidP="00E31514">
      <w:pPr>
        <w:ind w:right="-1" w:firstLine="709"/>
        <w:jc w:val="both"/>
      </w:pPr>
      <w:r>
        <w:t>5</w:t>
      </w:r>
      <w:r w:rsidR="005C7271">
        <w:t xml:space="preserve">.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264" w:rsidRDefault="00FE7264" w:rsidP="00747910">
      <w:r>
        <w:separator/>
      </w:r>
    </w:p>
  </w:endnote>
  <w:endnote w:type="continuationSeparator" w:id="1">
    <w:p w:rsidR="00FE7264" w:rsidRDefault="00FE726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D77F5">
    <w:pPr>
      <w:pStyle w:val="a7"/>
      <w:jc w:val="right"/>
    </w:pPr>
    <w:fldSimple w:instr=" PAGE   \* MERGEFORMAT ">
      <w:r w:rsidR="005E0BA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264" w:rsidRDefault="00FE7264" w:rsidP="00747910">
      <w:r>
        <w:separator/>
      </w:r>
    </w:p>
  </w:footnote>
  <w:footnote w:type="continuationSeparator" w:id="1">
    <w:p w:rsidR="00FE7264" w:rsidRDefault="00FE726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75A64"/>
    <w:rsid w:val="002808B8"/>
    <w:rsid w:val="0028313C"/>
    <w:rsid w:val="00286C88"/>
    <w:rsid w:val="00290C50"/>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0889"/>
    <w:rsid w:val="003A617A"/>
    <w:rsid w:val="003B6EAA"/>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D77F5"/>
    <w:rsid w:val="004F0A25"/>
    <w:rsid w:val="004F7B6D"/>
    <w:rsid w:val="00503F16"/>
    <w:rsid w:val="00503FA0"/>
    <w:rsid w:val="0051667D"/>
    <w:rsid w:val="00516DB6"/>
    <w:rsid w:val="00527E4B"/>
    <w:rsid w:val="00530E04"/>
    <w:rsid w:val="0053648F"/>
    <w:rsid w:val="005403B4"/>
    <w:rsid w:val="0057381C"/>
    <w:rsid w:val="00576ABA"/>
    <w:rsid w:val="00592802"/>
    <w:rsid w:val="005A6736"/>
    <w:rsid w:val="005B5914"/>
    <w:rsid w:val="005C7271"/>
    <w:rsid w:val="005D3B93"/>
    <w:rsid w:val="005E0BA9"/>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2B0B"/>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73B9"/>
    <w:rsid w:val="00827EC9"/>
    <w:rsid w:val="008308DA"/>
    <w:rsid w:val="00831F68"/>
    <w:rsid w:val="00833454"/>
    <w:rsid w:val="00856119"/>
    <w:rsid w:val="00861ECF"/>
    <w:rsid w:val="00862B73"/>
    <w:rsid w:val="00873966"/>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5B3B"/>
    <w:rsid w:val="00C8689F"/>
    <w:rsid w:val="00CA00B0"/>
    <w:rsid w:val="00CA1791"/>
    <w:rsid w:val="00CA186D"/>
    <w:rsid w:val="00CA3910"/>
    <w:rsid w:val="00CB25A5"/>
    <w:rsid w:val="00CB35DF"/>
    <w:rsid w:val="00CB75CD"/>
    <w:rsid w:val="00CC1D18"/>
    <w:rsid w:val="00CC31B1"/>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D2DA3"/>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B6E98"/>
    <w:rsid w:val="00FD5C89"/>
    <w:rsid w:val="00FE18AF"/>
    <w:rsid w:val="00FE44C7"/>
    <w:rsid w:val="00FE7264"/>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cp:revision>
  <cp:lastPrinted>2020-03-02T06:37:00Z</cp:lastPrinted>
  <dcterms:created xsi:type="dcterms:W3CDTF">2020-12-01T11:13:00Z</dcterms:created>
  <dcterms:modified xsi:type="dcterms:W3CDTF">2020-12-01T11:26:00Z</dcterms:modified>
</cp:coreProperties>
</file>