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B3EFB"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60F77" w:rsidP="00A032B6">
      <w:pPr>
        <w:ind w:left="-181"/>
        <w:jc w:val="center"/>
        <w:rPr>
          <w:b/>
        </w:rPr>
      </w:pPr>
      <w:r>
        <w:rPr>
          <w:b/>
        </w:rPr>
        <w:t xml:space="preserve">об </w:t>
      </w:r>
      <w:r w:rsidR="00E51F48">
        <w:rPr>
          <w:b/>
        </w:rPr>
        <w:t xml:space="preserve"> </w:t>
      </w:r>
      <w:r>
        <w:rPr>
          <w:b/>
        </w:rPr>
        <w:t>отложении рассмотрения дела</w:t>
      </w:r>
    </w:p>
    <w:p w:rsidR="005749E8" w:rsidRDefault="005749E8"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9572B7">
            <w:pPr>
              <w:rPr>
                <w:rFonts w:eastAsia="Calibri"/>
                <w:bCs/>
                <w:sz w:val="20"/>
                <w:szCs w:val="20"/>
              </w:rPr>
            </w:pPr>
            <w:r w:rsidRPr="001823B7">
              <w:rPr>
                <w:rFonts w:eastAsia="Calibri"/>
                <w:sz w:val="20"/>
                <w:szCs w:val="20"/>
              </w:rPr>
              <w:t>«</w:t>
            </w:r>
            <w:r w:rsidR="00F1479C">
              <w:rPr>
                <w:rFonts w:eastAsia="Calibri"/>
                <w:sz w:val="20"/>
                <w:szCs w:val="20"/>
                <w:u w:val="single"/>
              </w:rPr>
              <w:t xml:space="preserve">  </w:t>
            </w:r>
            <w:r w:rsidR="00306F8C">
              <w:rPr>
                <w:rFonts w:eastAsia="Calibri"/>
                <w:sz w:val="20"/>
                <w:szCs w:val="20"/>
                <w:u w:val="single"/>
              </w:rPr>
              <w:t xml:space="preserve"> </w:t>
            </w:r>
            <w:r w:rsidR="009572B7">
              <w:rPr>
                <w:rFonts w:eastAsia="Calibri"/>
                <w:sz w:val="20"/>
                <w:szCs w:val="20"/>
                <w:u w:val="single"/>
              </w:rPr>
              <w:t>11</w:t>
            </w:r>
            <w:r w:rsidR="00F1479C">
              <w:rPr>
                <w:rFonts w:eastAsia="Calibri"/>
                <w:sz w:val="20"/>
                <w:szCs w:val="20"/>
                <w:u w:val="single"/>
              </w:rPr>
              <w:t xml:space="preserve">  </w:t>
            </w:r>
            <w:r w:rsidRPr="00F1479C">
              <w:rPr>
                <w:rFonts w:eastAsia="Calibri"/>
                <w:sz w:val="20"/>
                <w:szCs w:val="20"/>
                <w:u w:val="single"/>
              </w:rPr>
              <w:t xml:space="preserve">» </w:t>
            </w:r>
            <w:r w:rsidR="002329B9">
              <w:rPr>
                <w:rFonts w:eastAsia="Calibri"/>
                <w:sz w:val="20"/>
                <w:szCs w:val="20"/>
                <w:u w:val="single"/>
              </w:rPr>
              <w:t xml:space="preserve">  </w:t>
            </w:r>
            <w:r w:rsidR="009572B7">
              <w:rPr>
                <w:rFonts w:eastAsia="Calibri"/>
                <w:sz w:val="20"/>
                <w:szCs w:val="20"/>
                <w:u w:val="single"/>
              </w:rPr>
              <w:t>ноября</w:t>
            </w:r>
            <w:r w:rsidR="00F1479C">
              <w:rPr>
                <w:rFonts w:eastAsia="Calibri"/>
                <w:bCs/>
                <w:sz w:val="20"/>
                <w:szCs w:val="20"/>
                <w:u w:val="single"/>
              </w:rPr>
              <w:t xml:space="preserve">     </w:t>
            </w:r>
            <w:smartTag w:uri="urn:schemas-microsoft-com:office:smarttags" w:element="metricconverter">
              <w:smartTagPr>
                <w:attr w:name="ProductID" w:val="2020 г"/>
              </w:smartTagPr>
              <w:r w:rsidRPr="00F1479C">
                <w:rPr>
                  <w:rFonts w:eastAsia="Calibri"/>
                  <w:bCs/>
                  <w:sz w:val="20"/>
                  <w:szCs w:val="20"/>
                  <w:u w:val="single"/>
                </w:rPr>
                <w:t>20</w:t>
              </w:r>
              <w:r w:rsidR="00FD35EE">
                <w:rPr>
                  <w:rFonts w:eastAsia="Calibri"/>
                  <w:bCs/>
                  <w:sz w:val="20"/>
                  <w:szCs w:val="20"/>
                  <w:u w:val="single"/>
                </w:rPr>
                <w:t>20</w:t>
              </w:r>
              <w:r w:rsidR="005749E8">
                <w:rPr>
                  <w:rFonts w:eastAsia="Calibri"/>
                  <w:bCs/>
                  <w:sz w:val="20"/>
                  <w:szCs w:val="20"/>
                  <w:u w:val="single"/>
                </w:rPr>
                <w:t xml:space="preserve"> </w:t>
              </w:r>
              <w:r w:rsidRPr="00F1479C">
                <w:rPr>
                  <w:rFonts w:eastAsia="Calibri"/>
                  <w:bCs/>
                  <w:sz w:val="20"/>
                  <w:szCs w:val="20"/>
                  <w:u w:val="single"/>
                </w:rPr>
                <w:t>г</w:t>
              </w:r>
            </w:smartTag>
            <w:r w:rsidRPr="001823B7">
              <w:rPr>
                <w:rFonts w:eastAsia="Calibri"/>
                <w:bCs/>
                <w:sz w:val="20"/>
                <w:szCs w:val="20"/>
              </w:rPr>
              <w:t>.</w:t>
            </w:r>
          </w:p>
        </w:tc>
        <w:tc>
          <w:tcPr>
            <w:tcW w:w="4971" w:type="dxa"/>
            <w:gridSpan w:val="3"/>
          </w:tcPr>
          <w:p w:rsidR="00435D1A" w:rsidRPr="00F1479C" w:rsidRDefault="00435D1A" w:rsidP="009572B7">
            <w:pPr>
              <w:rPr>
                <w:rFonts w:eastAsia="Calibri"/>
                <w:b/>
                <w:bCs/>
                <w:sz w:val="20"/>
                <w:szCs w:val="20"/>
                <w:u w:val="single"/>
              </w:rPr>
            </w:pPr>
            <w:r>
              <w:rPr>
                <w:rFonts w:eastAsia="Calibri"/>
                <w:bCs/>
                <w:sz w:val="20"/>
                <w:szCs w:val="20"/>
              </w:rPr>
              <w:t xml:space="preserve">                           </w:t>
            </w:r>
            <w:r w:rsidR="005749E8">
              <w:rPr>
                <w:rFonts w:eastAsia="Calibri"/>
                <w:bCs/>
                <w:sz w:val="20"/>
                <w:szCs w:val="20"/>
              </w:rPr>
              <w:t xml:space="preserve">           </w:t>
            </w: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F1479C">
              <w:rPr>
                <w:rFonts w:eastAsia="Calibri"/>
                <w:sz w:val="20"/>
                <w:szCs w:val="20"/>
                <w:u w:val="single"/>
              </w:rPr>
              <w:t xml:space="preserve"> </w:t>
            </w:r>
            <w:r w:rsidR="009572B7">
              <w:rPr>
                <w:rFonts w:eastAsia="Calibri"/>
                <w:sz w:val="20"/>
                <w:szCs w:val="20"/>
                <w:u w:val="single"/>
              </w:rPr>
              <w:t>722</w:t>
            </w:r>
            <w:r w:rsidR="00FD35EE">
              <w:rPr>
                <w:rFonts w:eastAsia="Calibri"/>
                <w:sz w:val="20"/>
                <w:szCs w:val="20"/>
                <w:u w:val="single"/>
              </w:rPr>
              <w:t>/20</w:t>
            </w:r>
            <w:r w:rsidR="00F1479C">
              <w:rPr>
                <w:rFonts w:eastAsia="Calibri"/>
                <w:sz w:val="20"/>
                <w:szCs w:val="20"/>
                <w:u w:val="single"/>
              </w:rPr>
              <w:t>-06</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17FF8" w:rsidRDefault="00717526" w:rsidP="00717526">
      <w:pPr>
        <w:jc w:val="right"/>
        <w:rPr>
          <w:sz w:val="23"/>
          <w:szCs w:val="23"/>
        </w:rPr>
      </w:pPr>
      <w:r w:rsidRPr="00E17FF8">
        <w:rPr>
          <w:sz w:val="23"/>
          <w:szCs w:val="23"/>
        </w:rPr>
        <w:t xml:space="preserve">  </w:t>
      </w:r>
    </w:p>
    <w:p w:rsidR="00D67A19" w:rsidRPr="009572B7" w:rsidRDefault="00C24D52" w:rsidP="00D67A19">
      <w:pPr>
        <w:pStyle w:val="ConsPlusNonformat"/>
        <w:ind w:firstLine="709"/>
        <w:jc w:val="both"/>
        <w:rPr>
          <w:rFonts w:ascii="Times New Roman" w:hAnsi="Times New Roman" w:cs="Times New Roman"/>
          <w:sz w:val="24"/>
          <w:szCs w:val="24"/>
        </w:rPr>
      </w:pPr>
      <w:r w:rsidRPr="00BA7EF3">
        <w:rPr>
          <w:rFonts w:ascii="Times New Roman" w:hAnsi="Times New Roman" w:cs="Times New Roman"/>
          <w:sz w:val="24"/>
          <w:szCs w:val="24"/>
        </w:rPr>
        <w:t xml:space="preserve">Арбитражный суд Приднестровской </w:t>
      </w:r>
      <w:r w:rsidRPr="009572B7">
        <w:rPr>
          <w:rFonts w:ascii="Times New Roman" w:hAnsi="Times New Roman" w:cs="Times New Roman"/>
          <w:sz w:val="24"/>
          <w:szCs w:val="24"/>
        </w:rPr>
        <w:t xml:space="preserve">Молдавской Республики в составе судьи            </w:t>
      </w:r>
      <w:r w:rsidRPr="009572B7">
        <w:rPr>
          <w:rFonts w:ascii="Times New Roman" w:hAnsi="Times New Roman" w:cs="Times New Roman"/>
          <w:sz w:val="24"/>
          <w:szCs w:val="24"/>
        </w:rPr>
        <w:br/>
        <w:t>Т. И. Цыганаш, приступив к рассмотрению</w:t>
      </w:r>
      <w:r w:rsidR="00DA6CA4" w:rsidRPr="009572B7">
        <w:rPr>
          <w:rFonts w:ascii="Times New Roman" w:hAnsi="Times New Roman" w:cs="Times New Roman"/>
          <w:sz w:val="24"/>
          <w:szCs w:val="24"/>
        </w:rPr>
        <w:t xml:space="preserve"> </w:t>
      </w:r>
      <w:r w:rsidR="00FD35EE" w:rsidRPr="009572B7">
        <w:rPr>
          <w:rFonts w:ascii="Times New Roman" w:hAnsi="Times New Roman" w:cs="Times New Roman"/>
          <w:sz w:val="24"/>
          <w:szCs w:val="24"/>
        </w:rPr>
        <w:t xml:space="preserve">заявления </w:t>
      </w:r>
      <w:r w:rsidR="009572B7" w:rsidRPr="009572B7">
        <w:rPr>
          <w:rFonts w:ascii="Times New Roman" w:hAnsi="Times New Roman" w:cs="Times New Roman"/>
          <w:sz w:val="24"/>
          <w:szCs w:val="24"/>
        </w:rPr>
        <w:t>иностранного дочернего общества с ограниченной ответственностью «</w:t>
      </w:r>
      <w:proofErr w:type="spellStart"/>
      <w:r w:rsidR="009572B7" w:rsidRPr="009572B7">
        <w:rPr>
          <w:rFonts w:ascii="Times New Roman" w:hAnsi="Times New Roman" w:cs="Times New Roman"/>
          <w:sz w:val="24"/>
          <w:szCs w:val="24"/>
        </w:rPr>
        <w:t>Агриматко-сервис</w:t>
      </w:r>
      <w:proofErr w:type="spellEnd"/>
      <w:r w:rsidR="009572B7" w:rsidRPr="009572B7">
        <w:rPr>
          <w:rFonts w:ascii="Times New Roman" w:hAnsi="Times New Roman" w:cs="Times New Roman"/>
          <w:sz w:val="24"/>
          <w:szCs w:val="24"/>
        </w:rPr>
        <w:t>» (г. Тирасполь, пер. Энгельса, д. 16) о признании несостоятельным (банкротом) общества с ограниченной ответственностью «</w:t>
      </w:r>
      <w:proofErr w:type="spellStart"/>
      <w:r w:rsidR="009572B7" w:rsidRPr="009572B7">
        <w:rPr>
          <w:rFonts w:ascii="Times New Roman" w:hAnsi="Times New Roman" w:cs="Times New Roman"/>
          <w:sz w:val="24"/>
          <w:szCs w:val="24"/>
        </w:rPr>
        <w:t>Елитим</w:t>
      </w:r>
      <w:proofErr w:type="spellEnd"/>
      <w:r w:rsidR="009572B7" w:rsidRPr="009572B7">
        <w:rPr>
          <w:rFonts w:ascii="Times New Roman" w:hAnsi="Times New Roman" w:cs="Times New Roman"/>
          <w:sz w:val="24"/>
          <w:szCs w:val="24"/>
        </w:rPr>
        <w:t xml:space="preserve">» (г. Рыбница, ул. Ленина, д. 1 «б», </w:t>
      </w:r>
      <w:proofErr w:type="spellStart"/>
      <w:r w:rsidR="009572B7" w:rsidRPr="009572B7">
        <w:rPr>
          <w:rFonts w:ascii="Times New Roman" w:hAnsi="Times New Roman" w:cs="Times New Roman"/>
          <w:sz w:val="24"/>
          <w:szCs w:val="24"/>
        </w:rPr>
        <w:t>каб</w:t>
      </w:r>
      <w:proofErr w:type="spellEnd"/>
      <w:r w:rsidR="009572B7" w:rsidRPr="009572B7">
        <w:rPr>
          <w:rFonts w:ascii="Times New Roman" w:hAnsi="Times New Roman" w:cs="Times New Roman"/>
          <w:sz w:val="24"/>
          <w:szCs w:val="24"/>
        </w:rPr>
        <w:t>. 310)</w:t>
      </w:r>
      <w:r w:rsidR="00DA6CA4" w:rsidRPr="009572B7">
        <w:rPr>
          <w:rFonts w:ascii="Times New Roman" w:hAnsi="Times New Roman" w:cs="Times New Roman"/>
          <w:sz w:val="24"/>
          <w:szCs w:val="24"/>
        </w:rPr>
        <w:t>,</w:t>
      </w:r>
      <w:r w:rsidR="00D67A19" w:rsidRPr="009572B7">
        <w:rPr>
          <w:rFonts w:ascii="Times New Roman" w:hAnsi="Times New Roman" w:cs="Times New Roman"/>
          <w:sz w:val="24"/>
          <w:szCs w:val="24"/>
        </w:rPr>
        <w:t xml:space="preserve"> в присутствии представите</w:t>
      </w:r>
      <w:r w:rsidR="00DA6CA4" w:rsidRPr="009572B7">
        <w:rPr>
          <w:rFonts w:ascii="Times New Roman" w:hAnsi="Times New Roman" w:cs="Times New Roman"/>
          <w:sz w:val="24"/>
          <w:szCs w:val="24"/>
        </w:rPr>
        <w:t>л</w:t>
      </w:r>
      <w:r w:rsidR="00D25A39" w:rsidRPr="009572B7">
        <w:rPr>
          <w:rFonts w:ascii="Times New Roman" w:hAnsi="Times New Roman" w:cs="Times New Roman"/>
          <w:sz w:val="24"/>
          <w:szCs w:val="24"/>
        </w:rPr>
        <w:t>я</w:t>
      </w:r>
      <w:r w:rsidR="00D67A19" w:rsidRPr="009572B7">
        <w:rPr>
          <w:rFonts w:ascii="Times New Roman" w:hAnsi="Times New Roman" w:cs="Times New Roman"/>
          <w:sz w:val="24"/>
          <w:szCs w:val="24"/>
        </w:rPr>
        <w:t>:</w:t>
      </w:r>
    </w:p>
    <w:p w:rsidR="00F1479C" w:rsidRPr="00BA7EF3" w:rsidRDefault="00D67A19" w:rsidP="005749E8">
      <w:pPr>
        <w:pStyle w:val="ConsPlusNonformat"/>
        <w:jc w:val="both"/>
        <w:rPr>
          <w:rFonts w:ascii="Times New Roman" w:hAnsi="Times New Roman" w:cs="Times New Roman"/>
          <w:sz w:val="24"/>
          <w:szCs w:val="24"/>
        </w:rPr>
      </w:pPr>
      <w:r w:rsidRPr="009572B7">
        <w:rPr>
          <w:rFonts w:ascii="Times New Roman" w:hAnsi="Times New Roman" w:cs="Times New Roman"/>
          <w:sz w:val="24"/>
          <w:szCs w:val="24"/>
        </w:rPr>
        <w:t xml:space="preserve">-  </w:t>
      </w:r>
      <w:r w:rsidR="009572B7" w:rsidRPr="009572B7">
        <w:rPr>
          <w:rFonts w:ascii="Times New Roman" w:hAnsi="Times New Roman" w:cs="Times New Roman"/>
          <w:sz w:val="24"/>
          <w:szCs w:val="24"/>
        </w:rPr>
        <w:t>иностранного дочернего общества с ограниченной ответственностью «</w:t>
      </w:r>
      <w:proofErr w:type="spellStart"/>
      <w:r w:rsidR="009572B7" w:rsidRPr="009572B7">
        <w:rPr>
          <w:rFonts w:ascii="Times New Roman" w:hAnsi="Times New Roman" w:cs="Times New Roman"/>
          <w:sz w:val="24"/>
          <w:szCs w:val="24"/>
        </w:rPr>
        <w:t>Агриматко-сервис</w:t>
      </w:r>
      <w:proofErr w:type="spellEnd"/>
      <w:r w:rsidR="009572B7" w:rsidRPr="009572B7">
        <w:rPr>
          <w:rFonts w:ascii="Times New Roman" w:hAnsi="Times New Roman" w:cs="Times New Roman"/>
          <w:sz w:val="24"/>
          <w:szCs w:val="24"/>
        </w:rPr>
        <w:t>»</w:t>
      </w:r>
      <w:r w:rsidRPr="009572B7">
        <w:rPr>
          <w:rFonts w:ascii="Times New Roman" w:hAnsi="Times New Roman" w:cs="Times New Roman"/>
          <w:sz w:val="24"/>
          <w:szCs w:val="24"/>
        </w:rPr>
        <w:t>–</w:t>
      </w:r>
      <w:r w:rsidR="005C296C" w:rsidRPr="009572B7">
        <w:rPr>
          <w:rFonts w:ascii="Times New Roman" w:hAnsi="Times New Roman" w:cs="Times New Roman"/>
          <w:sz w:val="24"/>
          <w:szCs w:val="24"/>
        </w:rPr>
        <w:t xml:space="preserve"> </w:t>
      </w:r>
      <w:r w:rsidR="009572B7">
        <w:rPr>
          <w:rFonts w:ascii="Times New Roman" w:hAnsi="Times New Roman" w:cs="Times New Roman"/>
          <w:sz w:val="24"/>
          <w:szCs w:val="24"/>
        </w:rPr>
        <w:t>Н</w:t>
      </w:r>
      <w:r w:rsidR="003E56FE" w:rsidRPr="009572B7">
        <w:rPr>
          <w:rFonts w:ascii="Times New Roman" w:hAnsi="Times New Roman" w:cs="Times New Roman"/>
          <w:sz w:val="24"/>
          <w:szCs w:val="24"/>
        </w:rPr>
        <w:t>.</w:t>
      </w:r>
      <w:r w:rsidR="009572B7">
        <w:rPr>
          <w:rFonts w:ascii="Times New Roman" w:hAnsi="Times New Roman" w:cs="Times New Roman"/>
          <w:sz w:val="24"/>
          <w:szCs w:val="24"/>
        </w:rPr>
        <w:t>И</w:t>
      </w:r>
      <w:r w:rsidR="003E56FE" w:rsidRPr="009572B7">
        <w:rPr>
          <w:rFonts w:ascii="Times New Roman" w:hAnsi="Times New Roman" w:cs="Times New Roman"/>
          <w:sz w:val="24"/>
          <w:szCs w:val="24"/>
        </w:rPr>
        <w:t xml:space="preserve">. </w:t>
      </w:r>
      <w:r w:rsidR="009572B7">
        <w:rPr>
          <w:rFonts w:ascii="Times New Roman" w:hAnsi="Times New Roman" w:cs="Times New Roman"/>
          <w:sz w:val="24"/>
          <w:szCs w:val="24"/>
        </w:rPr>
        <w:t>Сорокиной</w:t>
      </w:r>
      <w:r w:rsidR="005C296C" w:rsidRPr="009572B7">
        <w:rPr>
          <w:rFonts w:ascii="Times New Roman" w:hAnsi="Times New Roman" w:cs="Times New Roman"/>
          <w:sz w:val="24"/>
          <w:szCs w:val="24"/>
        </w:rPr>
        <w:t xml:space="preserve"> по доверенности </w:t>
      </w:r>
      <w:r w:rsidR="005C296C" w:rsidRPr="003E56FE">
        <w:rPr>
          <w:rFonts w:ascii="Times New Roman" w:hAnsi="Times New Roman" w:cs="Times New Roman"/>
          <w:sz w:val="24"/>
          <w:szCs w:val="24"/>
        </w:rPr>
        <w:t xml:space="preserve">от </w:t>
      </w:r>
      <w:r w:rsidR="009572B7">
        <w:rPr>
          <w:rFonts w:ascii="Times New Roman" w:hAnsi="Times New Roman" w:cs="Times New Roman"/>
          <w:sz w:val="24"/>
          <w:szCs w:val="24"/>
        </w:rPr>
        <w:t>30</w:t>
      </w:r>
      <w:r w:rsidR="005C296C" w:rsidRPr="003E56FE">
        <w:rPr>
          <w:rFonts w:ascii="Times New Roman" w:hAnsi="Times New Roman" w:cs="Times New Roman"/>
          <w:sz w:val="24"/>
          <w:szCs w:val="24"/>
        </w:rPr>
        <w:t xml:space="preserve"> </w:t>
      </w:r>
      <w:r w:rsidR="009572B7">
        <w:rPr>
          <w:rFonts w:ascii="Times New Roman" w:hAnsi="Times New Roman" w:cs="Times New Roman"/>
          <w:sz w:val="24"/>
          <w:szCs w:val="24"/>
        </w:rPr>
        <w:t>июля</w:t>
      </w:r>
      <w:r w:rsidR="005C296C" w:rsidRPr="003E56FE">
        <w:rPr>
          <w:rFonts w:ascii="Times New Roman" w:hAnsi="Times New Roman" w:cs="Times New Roman"/>
          <w:sz w:val="24"/>
          <w:szCs w:val="24"/>
        </w:rPr>
        <w:t xml:space="preserve"> 20</w:t>
      </w:r>
      <w:r w:rsidR="000F5AEA" w:rsidRPr="003E56FE">
        <w:rPr>
          <w:rFonts w:ascii="Times New Roman" w:hAnsi="Times New Roman" w:cs="Times New Roman"/>
          <w:sz w:val="24"/>
          <w:szCs w:val="24"/>
        </w:rPr>
        <w:t>20</w:t>
      </w:r>
      <w:r w:rsidR="005C296C" w:rsidRPr="003E56FE">
        <w:rPr>
          <w:rFonts w:ascii="Times New Roman" w:hAnsi="Times New Roman" w:cs="Times New Roman"/>
          <w:sz w:val="24"/>
          <w:szCs w:val="24"/>
        </w:rPr>
        <w:t xml:space="preserve"> года</w:t>
      </w:r>
      <w:r w:rsidRPr="003E56FE">
        <w:rPr>
          <w:rFonts w:ascii="Times New Roman" w:hAnsi="Times New Roman" w:cs="Times New Roman"/>
          <w:sz w:val="24"/>
          <w:szCs w:val="24"/>
        </w:rPr>
        <w:t xml:space="preserve">, </w:t>
      </w:r>
      <w:r w:rsidR="00FD35EE" w:rsidRPr="003E56FE">
        <w:rPr>
          <w:rFonts w:ascii="Times New Roman" w:hAnsi="Times New Roman" w:cs="Times New Roman"/>
          <w:sz w:val="24"/>
          <w:szCs w:val="24"/>
        </w:rPr>
        <w:t>разъяснив</w:t>
      </w:r>
      <w:r w:rsidR="00FD35EE" w:rsidRPr="00BA7EF3">
        <w:rPr>
          <w:rFonts w:ascii="Times New Roman" w:hAnsi="Times New Roman" w:cs="Times New Roman"/>
          <w:sz w:val="24"/>
          <w:szCs w:val="24"/>
        </w:rPr>
        <w:t xml:space="preserve"> права и обязанности, предусмотренные статьей 25 Арбитражного процессуального кодекса Приднестровской Молдавской Республики (далее – АПК ПМР),</w:t>
      </w:r>
    </w:p>
    <w:p w:rsidR="005749E8" w:rsidRPr="00BA7EF3" w:rsidRDefault="005749E8" w:rsidP="005749E8">
      <w:pPr>
        <w:pStyle w:val="ConsPlusNonformat"/>
        <w:jc w:val="both"/>
        <w:rPr>
          <w:b/>
          <w:sz w:val="24"/>
          <w:szCs w:val="24"/>
        </w:rPr>
      </w:pPr>
    </w:p>
    <w:p w:rsidR="00D67A19" w:rsidRPr="00BA7EF3" w:rsidRDefault="00D67A19" w:rsidP="00D67A19">
      <w:pPr>
        <w:tabs>
          <w:tab w:val="left" w:pos="9214"/>
        </w:tabs>
        <w:ind w:right="-1" w:firstLine="720"/>
        <w:jc w:val="center"/>
        <w:rPr>
          <w:b/>
        </w:rPr>
      </w:pPr>
      <w:r w:rsidRPr="00BA7EF3">
        <w:rPr>
          <w:b/>
        </w:rPr>
        <w:t>У С Т А Н О В И Л:</w:t>
      </w:r>
    </w:p>
    <w:p w:rsidR="00FD35EE" w:rsidRPr="00BA7EF3" w:rsidRDefault="00FD35EE" w:rsidP="003C7D06">
      <w:pPr>
        <w:tabs>
          <w:tab w:val="left" w:pos="9214"/>
        </w:tabs>
        <w:ind w:right="-1"/>
        <w:rPr>
          <w:b/>
        </w:rPr>
      </w:pPr>
    </w:p>
    <w:p w:rsidR="000F5AEA" w:rsidRDefault="00FD35EE" w:rsidP="00FB3EFB">
      <w:pPr>
        <w:pStyle w:val="ConsPlusNonformat"/>
        <w:jc w:val="both"/>
        <w:rPr>
          <w:rFonts w:ascii="Times New Roman" w:hAnsi="Times New Roman" w:cs="Times New Roman"/>
          <w:sz w:val="24"/>
          <w:szCs w:val="24"/>
        </w:rPr>
      </w:pPr>
      <w:r w:rsidRPr="00BA7EF3">
        <w:rPr>
          <w:rStyle w:val="10"/>
          <w:rFonts w:ascii="Times New Roman" w:hAnsi="Times New Roman" w:cs="Times New Roman"/>
          <w:color w:val="000000"/>
          <w:sz w:val="24"/>
          <w:szCs w:val="24"/>
        </w:rPr>
        <w:t xml:space="preserve">поданное заявление </w:t>
      </w:r>
      <w:r w:rsidR="009572B7" w:rsidRPr="009572B7">
        <w:rPr>
          <w:rFonts w:ascii="Times New Roman" w:hAnsi="Times New Roman" w:cs="Times New Roman"/>
          <w:sz w:val="24"/>
          <w:szCs w:val="24"/>
        </w:rPr>
        <w:t>иностранного дочернего общества с ограниченной ответственностью «</w:t>
      </w:r>
      <w:proofErr w:type="spellStart"/>
      <w:r w:rsidR="009572B7" w:rsidRPr="009572B7">
        <w:rPr>
          <w:rFonts w:ascii="Times New Roman" w:hAnsi="Times New Roman" w:cs="Times New Roman"/>
          <w:sz w:val="24"/>
          <w:szCs w:val="24"/>
        </w:rPr>
        <w:t>Агриматко-сервис</w:t>
      </w:r>
      <w:proofErr w:type="spellEnd"/>
      <w:r w:rsidR="009572B7" w:rsidRPr="009572B7">
        <w:rPr>
          <w:rFonts w:ascii="Times New Roman" w:hAnsi="Times New Roman" w:cs="Times New Roman"/>
          <w:sz w:val="24"/>
          <w:szCs w:val="24"/>
        </w:rPr>
        <w:t>»</w:t>
      </w:r>
      <w:r w:rsidR="009572B7" w:rsidRPr="00BA7EF3">
        <w:rPr>
          <w:rFonts w:ascii="Times New Roman" w:hAnsi="Times New Roman" w:cs="Times New Roman"/>
          <w:sz w:val="24"/>
          <w:szCs w:val="24"/>
        </w:rPr>
        <w:t xml:space="preserve"> </w:t>
      </w:r>
      <w:r w:rsidRPr="00BA7EF3">
        <w:rPr>
          <w:rFonts w:ascii="Times New Roman" w:hAnsi="Times New Roman" w:cs="Times New Roman"/>
          <w:sz w:val="24"/>
          <w:szCs w:val="24"/>
        </w:rPr>
        <w:t xml:space="preserve">(далее – </w:t>
      </w:r>
      <w:r w:rsidR="009572B7">
        <w:rPr>
          <w:rFonts w:ascii="Times New Roman" w:hAnsi="Times New Roman" w:cs="Times New Roman"/>
          <w:sz w:val="24"/>
          <w:szCs w:val="24"/>
        </w:rPr>
        <w:t xml:space="preserve">ИДООО </w:t>
      </w:r>
      <w:r w:rsidR="009572B7" w:rsidRPr="009572B7">
        <w:rPr>
          <w:rFonts w:ascii="Times New Roman" w:hAnsi="Times New Roman" w:cs="Times New Roman"/>
          <w:sz w:val="24"/>
          <w:szCs w:val="24"/>
        </w:rPr>
        <w:t>«</w:t>
      </w:r>
      <w:proofErr w:type="spellStart"/>
      <w:r w:rsidR="009572B7" w:rsidRPr="009572B7">
        <w:rPr>
          <w:rFonts w:ascii="Times New Roman" w:hAnsi="Times New Roman" w:cs="Times New Roman"/>
          <w:sz w:val="24"/>
          <w:szCs w:val="24"/>
        </w:rPr>
        <w:t>Агриматко-сервис</w:t>
      </w:r>
      <w:proofErr w:type="spellEnd"/>
      <w:r w:rsidR="009572B7" w:rsidRPr="009572B7">
        <w:rPr>
          <w:rFonts w:ascii="Times New Roman" w:hAnsi="Times New Roman" w:cs="Times New Roman"/>
          <w:sz w:val="24"/>
          <w:szCs w:val="24"/>
        </w:rPr>
        <w:t>»</w:t>
      </w:r>
      <w:r w:rsidR="00C01DCA">
        <w:rPr>
          <w:rFonts w:ascii="Times New Roman" w:hAnsi="Times New Roman" w:cs="Times New Roman"/>
          <w:sz w:val="24"/>
          <w:szCs w:val="24"/>
        </w:rPr>
        <w:t>, заявитель</w:t>
      </w:r>
      <w:r w:rsidRPr="00BA7EF3">
        <w:rPr>
          <w:rFonts w:ascii="Times New Roman" w:hAnsi="Times New Roman" w:cs="Times New Roman"/>
          <w:sz w:val="24"/>
          <w:szCs w:val="24"/>
        </w:rPr>
        <w:t>) к обществу с ограниченной ответственностью «</w:t>
      </w:r>
      <w:proofErr w:type="spellStart"/>
      <w:r w:rsidR="009572B7">
        <w:rPr>
          <w:rFonts w:ascii="Times New Roman" w:hAnsi="Times New Roman" w:cs="Times New Roman"/>
          <w:sz w:val="24"/>
          <w:szCs w:val="24"/>
        </w:rPr>
        <w:t>Елитим</w:t>
      </w:r>
      <w:proofErr w:type="spellEnd"/>
      <w:r w:rsidRPr="00C01DCA">
        <w:rPr>
          <w:rFonts w:ascii="Times New Roman" w:hAnsi="Times New Roman" w:cs="Times New Roman"/>
          <w:sz w:val="24"/>
          <w:szCs w:val="24"/>
        </w:rPr>
        <w:t xml:space="preserve">» (далее – </w:t>
      </w:r>
      <w:r w:rsidR="000F5AEA" w:rsidRPr="00C01DCA">
        <w:rPr>
          <w:rFonts w:ascii="Times New Roman" w:hAnsi="Times New Roman" w:cs="Times New Roman"/>
          <w:sz w:val="24"/>
          <w:szCs w:val="24"/>
        </w:rPr>
        <w:t>ООО «</w:t>
      </w:r>
      <w:proofErr w:type="spellStart"/>
      <w:r w:rsidR="009572B7">
        <w:rPr>
          <w:rFonts w:ascii="Times New Roman" w:hAnsi="Times New Roman" w:cs="Times New Roman"/>
          <w:sz w:val="24"/>
          <w:szCs w:val="24"/>
        </w:rPr>
        <w:t>Елитим</w:t>
      </w:r>
      <w:proofErr w:type="spellEnd"/>
      <w:r w:rsidRPr="00C01DCA">
        <w:rPr>
          <w:rFonts w:ascii="Times New Roman" w:hAnsi="Times New Roman" w:cs="Times New Roman"/>
          <w:sz w:val="24"/>
          <w:szCs w:val="24"/>
        </w:rPr>
        <w:t>»</w:t>
      </w:r>
      <w:r w:rsidR="00C01DCA">
        <w:rPr>
          <w:rFonts w:ascii="Times New Roman" w:hAnsi="Times New Roman" w:cs="Times New Roman"/>
          <w:sz w:val="24"/>
          <w:szCs w:val="24"/>
        </w:rPr>
        <w:t>, должник</w:t>
      </w:r>
      <w:r w:rsidR="003C7D06" w:rsidRPr="00C01DCA">
        <w:rPr>
          <w:rFonts w:ascii="Times New Roman" w:hAnsi="Times New Roman" w:cs="Times New Roman"/>
          <w:sz w:val="24"/>
          <w:szCs w:val="24"/>
        </w:rPr>
        <w:t>)</w:t>
      </w:r>
      <w:r w:rsidR="00CE4AD2" w:rsidRPr="00C01DCA">
        <w:rPr>
          <w:rFonts w:ascii="Times New Roman" w:hAnsi="Times New Roman" w:cs="Times New Roman"/>
          <w:sz w:val="24"/>
          <w:szCs w:val="24"/>
        </w:rPr>
        <w:t xml:space="preserve"> </w:t>
      </w:r>
      <w:r w:rsidR="000F5AEA" w:rsidRPr="00C01DCA">
        <w:rPr>
          <w:rFonts w:ascii="Times New Roman" w:hAnsi="Times New Roman" w:cs="Times New Roman"/>
          <w:sz w:val="24"/>
          <w:szCs w:val="24"/>
        </w:rPr>
        <w:t>оп</w:t>
      </w:r>
      <w:r w:rsidRPr="00C01DCA">
        <w:rPr>
          <w:rStyle w:val="10"/>
          <w:rFonts w:ascii="Times New Roman" w:hAnsi="Times New Roman" w:cs="Times New Roman"/>
          <w:color w:val="000000"/>
          <w:sz w:val="24"/>
          <w:szCs w:val="24"/>
        </w:rPr>
        <w:t xml:space="preserve">ределением от </w:t>
      </w:r>
      <w:r w:rsidR="009572B7">
        <w:rPr>
          <w:rStyle w:val="10"/>
          <w:rFonts w:ascii="Times New Roman" w:hAnsi="Times New Roman" w:cs="Times New Roman"/>
          <w:color w:val="000000"/>
          <w:sz w:val="24"/>
          <w:szCs w:val="24"/>
        </w:rPr>
        <w:t>29</w:t>
      </w:r>
      <w:r w:rsidRPr="00C01DCA">
        <w:rPr>
          <w:rStyle w:val="10"/>
          <w:rFonts w:ascii="Times New Roman" w:hAnsi="Times New Roman" w:cs="Times New Roman"/>
          <w:color w:val="000000"/>
          <w:sz w:val="24"/>
          <w:szCs w:val="24"/>
        </w:rPr>
        <w:t xml:space="preserve"> </w:t>
      </w:r>
      <w:r w:rsidR="009572B7">
        <w:rPr>
          <w:rStyle w:val="10"/>
          <w:rFonts w:ascii="Times New Roman" w:hAnsi="Times New Roman" w:cs="Times New Roman"/>
          <w:color w:val="000000"/>
          <w:sz w:val="24"/>
          <w:szCs w:val="24"/>
        </w:rPr>
        <w:t>октяб</w:t>
      </w:r>
      <w:r w:rsidR="003E56FE" w:rsidRPr="00C01DCA">
        <w:rPr>
          <w:rStyle w:val="10"/>
          <w:rFonts w:ascii="Times New Roman" w:hAnsi="Times New Roman" w:cs="Times New Roman"/>
          <w:color w:val="000000"/>
          <w:sz w:val="24"/>
          <w:szCs w:val="24"/>
        </w:rPr>
        <w:t>ря</w:t>
      </w:r>
      <w:r w:rsidRPr="00C01DCA">
        <w:rPr>
          <w:rStyle w:val="10"/>
          <w:rFonts w:ascii="Times New Roman" w:hAnsi="Times New Roman" w:cs="Times New Roman"/>
          <w:color w:val="000000"/>
          <w:sz w:val="24"/>
          <w:szCs w:val="24"/>
        </w:rPr>
        <w:t xml:space="preserve"> 2020 года принято к производству суда.</w:t>
      </w:r>
      <w:r w:rsidR="00C01DCA" w:rsidRPr="00C01DCA">
        <w:rPr>
          <w:rStyle w:val="10"/>
          <w:rFonts w:ascii="Times New Roman" w:hAnsi="Times New Roman" w:cs="Times New Roman"/>
          <w:color w:val="000000"/>
          <w:sz w:val="24"/>
          <w:szCs w:val="24"/>
        </w:rPr>
        <w:t xml:space="preserve"> </w:t>
      </w:r>
      <w:r w:rsidR="000F5AEA" w:rsidRPr="00C01DCA">
        <w:rPr>
          <w:rStyle w:val="10"/>
          <w:rFonts w:ascii="Times New Roman" w:hAnsi="Times New Roman" w:cs="Times New Roman"/>
          <w:color w:val="000000"/>
          <w:sz w:val="24"/>
          <w:szCs w:val="24"/>
        </w:rPr>
        <w:t>Копии указанного судебного акта нап</w:t>
      </w:r>
      <w:r w:rsidR="000F5AEA" w:rsidRPr="00C01DCA">
        <w:rPr>
          <w:rFonts w:ascii="Times New Roman" w:hAnsi="Times New Roman" w:cs="Times New Roman"/>
          <w:sz w:val="24"/>
          <w:szCs w:val="24"/>
        </w:rPr>
        <w:t>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w:t>
      </w:r>
    </w:p>
    <w:p w:rsidR="00E80E9A" w:rsidRPr="00C01DCA" w:rsidRDefault="00E80E9A" w:rsidP="00774B5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Дела о несостоятельности (банкротстве) в силу пункта 1 статьи 131 АПК ПМР рассматриваются арбитражным судом по правилам, предусмотренным АПК ПМР, с особенностями, установленными Законом ПМР «О несостоятельности (банкротстве)»</w:t>
      </w:r>
      <w:r w:rsidR="00774B5E">
        <w:rPr>
          <w:rFonts w:ascii="Times New Roman" w:hAnsi="Times New Roman" w:cs="Times New Roman"/>
          <w:sz w:val="24"/>
          <w:szCs w:val="24"/>
        </w:rPr>
        <w:t>.</w:t>
      </w:r>
    </w:p>
    <w:p w:rsidR="009572B7" w:rsidRDefault="00C01DCA" w:rsidP="00FB3EFB">
      <w:pPr>
        <w:ind w:firstLine="567"/>
        <w:jc w:val="both"/>
      </w:pPr>
      <w:proofErr w:type="gramStart"/>
      <w:r w:rsidRPr="00BA7EF3">
        <w:t>Проверив в порядке статьи 104 АПК ПМР явку лиц, участвующих в деле, суд установил отсутствие</w:t>
      </w:r>
      <w:r>
        <w:t xml:space="preserve"> ООО «</w:t>
      </w:r>
      <w:proofErr w:type="spellStart"/>
      <w:r w:rsidR="009572B7">
        <w:t>Елитим</w:t>
      </w:r>
      <w:proofErr w:type="spellEnd"/>
      <w:r>
        <w:t xml:space="preserve">», надлежащим образом извещенного о времени и месте рассмотрения дела, о чем свидетельствует почтовое уведомление </w:t>
      </w:r>
      <w:r w:rsidRPr="00FB3EFB">
        <w:t>№</w:t>
      </w:r>
      <w:r w:rsidR="00FB3EFB" w:rsidRPr="00FB3EFB">
        <w:t xml:space="preserve"> 2/9</w:t>
      </w:r>
      <w:r w:rsidRPr="00FB3EFB">
        <w:t xml:space="preserve"> от</w:t>
      </w:r>
      <w:r w:rsidR="00FB3EFB" w:rsidRPr="00FB3EFB">
        <w:t xml:space="preserve"> 29.10.</w:t>
      </w:r>
      <w:r w:rsidRPr="00FB3EFB">
        <w:t>202</w:t>
      </w:r>
      <w:r w:rsidR="009572B7" w:rsidRPr="00FB3EFB">
        <w:t>0</w:t>
      </w:r>
      <w:r w:rsidRPr="00FB3EFB">
        <w:t xml:space="preserve"> г</w:t>
      </w:r>
      <w:r>
        <w:t xml:space="preserve">. </w:t>
      </w:r>
      <w:r w:rsidR="00774B5E">
        <w:t xml:space="preserve">Согласно пункту 2 статьи 45 Закона ПМР «О несостоятельности (банкротстве)» в корреспонденции с </w:t>
      </w:r>
      <w:r w:rsidR="009572B7">
        <w:t>пункт</w:t>
      </w:r>
      <w:r w:rsidR="00774B5E">
        <w:t>ом</w:t>
      </w:r>
      <w:r w:rsidR="009572B7">
        <w:t xml:space="preserve"> 2</w:t>
      </w:r>
      <w:r w:rsidR="009572B7" w:rsidRPr="00BA7EF3">
        <w:t xml:space="preserve"> статьи 108 АПК ПМР не</w:t>
      </w:r>
      <w:r w:rsidR="00774B5E">
        <w:t>явка должника, надлежащим образом извещенного</w:t>
      </w:r>
      <w:proofErr w:type="gramEnd"/>
      <w:r w:rsidR="00774B5E">
        <w:t xml:space="preserve"> о времени и месте судебного заседания, не препятствует рассмотрению вопроса о введении наблюдения</w:t>
      </w:r>
      <w:r w:rsidR="009572B7" w:rsidRPr="00BA7EF3">
        <w:t>.</w:t>
      </w:r>
    </w:p>
    <w:p w:rsidR="00FB3EFB" w:rsidRDefault="00FB3EFB" w:rsidP="00FB3EFB">
      <w:pPr>
        <w:ind w:firstLine="567"/>
        <w:jc w:val="both"/>
      </w:pPr>
      <w:r>
        <w:t>Арбитражный суд в ходе рассмотрения дела заслушал позицию ИДООО «</w:t>
      </w:r>
      <w:proofErr w:type="spellStart"/>
      <w:r>
        <w:t>Агриматко-сервис</w:t>
      </w:r>
      <w:proofErr w:type="spellEnd"/>
      <w:r>
        <w:t>», исследовал оригиналы документов, приложенных к заявлению в копиях.</w:t>
      </w:r>
    </w:p>
    <w:p w:rsidR="009572B7" w:rsidRPr="00BA7EF3" w:rsidRDefault="009572B7" w:rsidP="00FB3EFB">
      <w:pPr>
        <w:ind w:firstLine="567"/>
        <w:jc w:val="both"/>
        <w:rPr>
          <w:rStyle w:val="10"/>
          <w:sz w:val="24"/>
          <w:szCs w:val="24"/>
        </w:rPr>
      </w:pPr>
      <w:r>
        <w:t>Арбитражного суд</w:t>
      </w:r>
      <w:r w:rsidR="00FB3EFB">
        <w:t xml:space="preserve"> после исследования материалов дела поставил на разрешение ходатайств</w:t>
      </w:r>
      <w:proofErr w:type="gramStart"/>
      <w:r w:rsidR="00FB3EFB">
        <w:t>о ООО</w:t>
      </w:r>
      <w:proofErr w:type="gramEnd"/>
      <w:r w:rsidR="00FB3EFB">
        <w:t xml:space="preserve"> «</w:t>
      </w:r>
      <w:proofErr w:type="spellStart"/>
      <w:r w:rsidR="00FB3EFB">
        <w:t>Елитим</w:t>
      </w:r>
      <w:proofErr w:type="spellEnd"/>
      <w:r w:rsidR="00FB3EFB">
        <w:t>», поступившее посредством почты,</w:t>
      </w:r>
      <w:r>
        <w:t xml:space="preserve"> об отложении рассмотрения дела </w:t>
      </w:r>
      <w:r w:rsidR="00FE0751">
        <w:t>в связи с тем, что в настоящее время ведутся переговоры с третьим лицом о единовременной выплате долга.</w:t>
      </w:r>
    </w:p>
    <w:p w:rsidR="00034007" w:rsidRPr="002C4BDF" w:rsidRDefault="00034007" w:rsidP="00FB3EFB">
      <w:pPr>
        <w:ind w:firstLine="567"/>
        <w:jc w:val="both"/>
      </w:pPr>
      <w:r w:rsidRPr="002C4BDF">
        <w:lastRenderedPageBreak/>
        <w:t xml:space="preserve">Арбитражный суд, заслушав в порядке, предусмотренном статьей 107 АПК ПМР, мнение </w:t>
      </w:r>
      <w:r>
        <w:t>представителя заявителя</w:t>
      </w:r>
      <w:r w:rsidRPr="002C4BDF">
        <w:t>,</w:t>
      </w:r>
      <w:r w:rsidR="00FB3EFB">
        <w:t xml:space="preserve"> не возражавшего в отношении заявленного ходатайства,</w:t>
      </w:r>
      <w:r w:rsidRPr="002C4BDF">
        <w:t xml:space="preserve"> полагает </w:t>
      </w:r>
      <w:r w:rsidR="00FB3EFB">
        <w:t>таковое</w:t>
      </w:r>
      <w:r w:rsidRPr="002C4BDF">
        <w:t xml:space="preserve"> подлежащим удовлетворению.</w:t>
      </w:r>
    </w:p>
    <w:p w:rsidR="00034007" w:rsidRPr="002C4BDF" w:rsidRDefault="00034007" w:rsidP="00FB3EFB">
      <w:pPr>
        <w:pStyle w:val="ac"/>
        <w:spacing w:before="0" w:beforeAutospacing="0" w:after="0" w:afterAutospacing="0"/>
        <w:ind w:firstLine="567"/>
      </w:pPr>
      <w:r w:rsidRPr="002C4BDF">
        <w:t xml:space="preserve">При таких обстоятельствах Арбитражный суд Приднестровской Молдавской Республики, руководствуясь статьями </w:t>
      </w:r>
      <w:r>
        <w:t xml:space="preserve">107, </w:t>
      </w:r>
      <w:r w:rsidRPr="002C4BDF">
        <w:t>109, 128 А</w:t>
      </w:r>
      <w:r w:rsidR="00FB3EFB">
        <w:t>ПК ПМР</w:t>
      </w:r>
      <w:r w:rsidRPr="002C4BDF">
        <w:t xml:space="preserve">, </w:t>
      </w:r>
    </w:p>
    <w:p w:rsidR="000F5AEA" w:rsidRPr="00BA7EF3" w:rsidRDefault="000F5AEA" w:rsidP="000F5AEA">
      <w:pPr>
        <w:keepNext/>
        <w:jc w:val="center"/>
        <w:outlineLvl w:val="2"/>
      </w:pPr>
    </w:p>
    <w:p w:rsidR="00FF6243" w:rsidRPr="00BA7EF3" w:rsidRDefault="00FF6243" w:rsidP="000F5AEA">
      <w:pPr>
        <w:keepNext/>
        <w:jc w:val="center"/>
        <w:outlineLvl w:val="2"/>
        <w:rPr>
          <w:b/>
        </w:rPr>
      </w:pPr>
      <w:r w:rsidRPr="00BA7EF3">
        <w:rPr>
          <w:b/>
        </w:rPr>
        <w:t xml:space="preserve">О </w:t>
      </w:r>
      <w:proofErr w:type="gramStart"/>
      <w:r w:rsidRPr="00BA7EF3">
        <w:rPr>
          <w:b/>
        </w:rPr>
        <w:t>П</w:t>
      </w:r>
      <w:proofErr w:type="gramEnd"/>
      <w:r w:rsidRPr="00BA7EF3">
        <w:rPr>
          <w:b/>
        </w:rPr>
        <w:t xml:space="preserve"> Р Е Д Е Л И Л:</w:t>
      </w:r>
    </w:p>
    <w:p w:rsidR="00BA7EF3" w:rsidRPr="00BA7EF3" w:rsidRDefault="00BA7EF3" w:rsidP="00D85F24">
      <w:pPr>
        <w:jc w:val="both"/>
      </w:pPr>
    </w:p>
    <w:p w:rsidR="00BA7EF3" w:rsidRPr="00BA7EF3" w:rsidRDefault="00BA7EF3" w:rsidP="00BA7EF3">
      <w:pPr>
        <w:numPr>
          <w:ilvl w:val="0"/>
          <w:numId w:val="8"/>
        </w:numPr>
        <w:jc w:val="both"/>
      </w:pPr>
      <w:r w:rsidRPr="00BA7EF3">
        <w:t>Удовлетворить ходатайств</w:t>
      </w:r>
      <w:proofErr w:type="gramStart"/>
      <w:r w:rsidRPr="00BA7EF3">
        <w:t xml:space="preserve">о </w:t>
      </w:r>
      <w:r w:rsidR="00034007" w:rsidRPr="00C01DCA">
        <w:t>ООО</w:t>
      </w:r>
      <w:proofErr w:type="gramEnd"/>
      <w:r w:rsidR="00034007" w:rsidRPr="00C01DCA">
        <w:t xml:space="preserve"> «</w:t>
      </w:r>
      <w:proofErr w:type="spellStart"/>
      <w:r w:rsidR="00034007">
        <w:t>Елитим</w:t>
      </w:r>
      <w:proofErr w:type="spellEnd"/>
      <w:r w:rsidR="00034007" w:rsidRPr="00C01DCA">
        <w:t>»</w:t>
      </w:r>
      <w:r w:rsidR="00034007">
        <w:t xml:space="preserve"> </w:t>
      </w:r>
      <w:r w:rsidRPr="00BA7EF3">
        <w:t>об отложении рассмотрения дела.</w:t>
      </w:r>
    </w:p>
    <w:p w:rsidR="00E17FF8" w:rsidRDefault="00BA7EF3" w:rsidP="00BA7EF3">
      <w:pPr>
        <w:numPr>
          <w:ilvl w:val="0"/>
          <w:numId w:val="8"/>
        </w:numPr>
        <w:jc w:val="both"/>
      </w:pPr>
      <w:r w:rsidRPr="00BA7EF3">
        <w:t>Отложить</w:t>
      </w:r>
      <w:r w:rsidR="00D67A19" w:rsidRPr="00BA7EF3">
        <w:t xml:space="preserve"> </w:t>
      </w:r>
      <w:r w:rsidR="00D67A19" w:rsidRPr="00D85F24">
        <w:t xml:space="preserve">рассмотрение дела № </w:t>
      </w:r>
      <w:r w:rsidR="00034007">
        <w:t>722</w:t>
      </w:r>
      <w:r w:rsidR="00D85F24" w:rsidRPr="00D85F24">
        <w:t>/</w:t>
      </w:r>
      <w:r w:rsidR="003C7D06" w:rsidRPr="00D85F24">
        <w:t>20</w:t>
      </w:r>
      <w:r w:rsidR="00D67A19" w:rsidRPr="00D85F24">
        <w:t xml:space="preserve">-06 на </w:t>
      </w:r>
      <w:r w:rsidR="00034007">
        <w:t>24</w:t>
      </w:r>
      <w:r w:rsidR="005C296C" w:rsidRPr="00D85F24">
        <w:t xml:space="preserve"> </w:t>
      </w:r>
      <w:r w:rsidR="00D85F24" w:rsidRPr="00D85F24">
        <w:t>ноября</w:t>
      </w:r>
      <w:r w:rsidR="00FF6243" w:rsidRPr="00D85F24">
        <w:t xml:space="preserve"> </w:t>
      </w:r>
      <w:r w:rsidR="003C7D06" w:rsidRPr="00D85F24">
        <w:t>2020</w:t>
      </w:r>
      <w:r w:rsidR="00C24D52" w:rsidRPr="00D85F24">
        <w:t xml:space="preserve"> года </w:t>
      </w:r>
      <w:r w:rsidR="00D67A19" w:rsidRPr="00D85F24">
        <w:t>на 1</w:t>
      </w:r>
      <w:r w:rsidR="00034007">
        <w:t>1</w:t>
      </w:r>
      <w:r w:rsidR="00D67A19" w:rsidRPr="00D85F24">
        <w:t>.</w:t>
      </w:r>
      <w:r w:rsidR="00D85F24" w:rsidRPr="00D85F24">
        <w:t>00</w:t>
      </w:r>
      <w:r w:rsidR="00D67A19" w:rsidRPr="00D85F24">
        <w:t xml:space="preserve"> час</w:t>
      </w:r>
      <w:proofErr w:type="gramStart"/>
      <w:r w:rsidR="00D67A19" w:rsidRPr="00D85F24">
        <w:t>.</w:t>
      </w:r>
      <w:proofErr w:type="gramEnd"/>
      <w:r w:rsidR="00D67A19" w:rsidRPr="00D85F24">
        <w:t xml:space="preserve"> </w:t>
      </w:r>
      <w:proofErr w:type="gramStart"/>
      <w:r w:rsidR="00D67A19" w:rsidRPr="00D85F24">
        <w:t>в</w:t>
      </w:r>
      <w:proofErr w:type="gramEnd"/>
      <w:r w:rsidR="00D67A19" w:rsidRPr="00D85F24">
        <w:t xml:space="preserve"> здании Арбитражного суда Приднестровской Молдавской Республики по адресу: г. Тирасполь, ул. Ленина, ½,  каб.201</w:t>
      </w:r>
      <w:r w:rsidR="00282549" w:rsidRPr="00D85F24">
        <w:t>.</w:t>
      </w:r>
    </w:p>
    <w:p w:rsidR="00034007" w:rsidRPr="00D85F24" w:rsidRDefault="00034007" w:rsidP="00BA7EF3">
      <w:pPr>
        <w:numPr>
          <w:ilvl w:val="0"/>
          <w:numId w:val="8"/>
        </w:numPr>
        <w:jc w:val="both"/>
      </w:pPr>
      <w:r>
        <w:t>Явку лиц участвующих в деле признать обязательной.</w:t>
      </w:r>
    </w:p>
    <w:p w:rsidR="00D85F24" w:rsidRDefault="00D85F24" w:rsidP="00D85F24">
      <w:pPr>
        <w:jc w:val="both"/>
      </w:pPr>
    </w:p>
    <w:p w:rsidR="00D67A19" w:rsidRPr="00BA7EF3" w:rsidRDefault="00D67A19" w:rsidP="00D67A19">
      <w:pPr>
        <w:ind w:firstLine="708"/>
        <w:jc w:val="both"/>
      </w:pPr>
      <w:r w:rsidRPr="00BA7EF3">
        <w:t>Определение не обжалуется.</w:t>
      </w:r>
    </w:p>
    <w:p w:rsidR="00D67A19" w:rsidRPr="00BA7EF3" w:rsidRDefault="00D67A19" w:rsidP="003C7D06">
      <w:pPr>
        <w:jc w:val="both"/>
      </w:pPr>
    </w:p>
    <w:p w:rsidR="00D67A19" w:rsidRPr="00BA7EF3" w:rsidRDefault="00D67A19" w:rsidP="00D67A19">
      <w:pPr>
        <w:keepNext/>
        <w:ind w:left="12" w:hanging="12"/>
        <w:jc w:val="both"/>
        <w:outlineLvl w:val="3"/>
        <w:rPr>
          <w:b/>
          <w:bCs/>
        </w:rPr>
      </w:pPr>
      <w:r w:rsidRPr="00BA7EF3">
        <w:rPr>
          <w:b/>
          <w:bCs/>
        </w:rPr>
        <w:t xml:space="preserve">Судья Арбитражного суда </w:t>
      </w:r>
    </w:p>
    <w:p w:rsidR="00D67A19" w:rsidRPr="00BA7EF3" w:rsidRDefault="00D67A19" w:rsidP="00D67A19">
      <w:r w:rsidRPr="00BA7EF3">
        <w:rPr>
          <w:b/>
          <w:bCs/>
        </w:rPr>
        <w:t xml:space="preserve">Приднестровской Молдавской </w:t>
      </w:r>
      <w:proofErr w:type="spellStart"/>
      <w:r w:rsidRPr="00BA7EF3">
        <w:rPr>
          <w:b/>
          <w:bCs/>
        </w:rPr>
        <w:t>Републики</w:t>
      </w:r>
      <w:proofErr w:type="spellEnd"/>
      <w:r w:rsidRPr="00BA7EF3">
        <w:rPr>
          <w:b/>
          <w:bCs/>
        </w:rPr>
        <w:tab/>
      </w:r>
      <w:r w:rsidRPr="00BA7EF3">
        <w:rPr>
          <w:b/>
          <w:bCs/>
        </w:rPr>
        <w:tab/>
      </w:r>
      <w:r w:rsidRPr="00BA7EF3">
        <w:rPr>
          <w:b/>
          <w:bCs/>
        </w:rPr>
        <w:tab/>
      </w:r>
      <w:r w:rsidRPr="00BA7EF3">
        <w:rPr>
          <w:b/>
          <w:bCs/>
        </w:rPr>
        <w:tab/>
        <w:t xml:space="preserve">        Т. И. Цыганаш</w:t>
      </w:r>
    </w:p>
    <w:sectPr w:rsidR="00D67A19" w:rsidRPr="00BA7EF3" w:rsidSect="00A76266">
      <w:footerReference w:type="default" r:id="rId8"/>
      <w:pgSz w:w="11906" w:h="16838"/>
      <w:pgMar w:top="720" w:right="707"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9A" w:rsidRDefault="00E80E9A" w:rsidP="00747910">
      <w:r>
        <w:separator/>
      </w:r>
    </w:p>
  </w:endnote>
  <w:endnote w:type="continuationSeparator" w:id="1">
    <w:p w:rsidR="00E80E9A" w:rsidRDefault="00E80E9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9A" w:rsidRPr="00081B5A" w:rsidRDefault="00E80E9A">
    <w:pPr>
      <w:pStyle w:val="a7"/>
      <w:rPr>
        <w:sz w:val="16"/>
        <w:szCs w:val="16"/>
      </w:rPr>
    </w:pPr>
    <w:r>
      <w:rPr>
        <w:sz w:val="16"/>
        <w:szCs w:val="16"/>
      </w:rPr>
      <w:t>Форма  № Ф-1</w:t>
    </w:r>
  </w:p>
  <w:p w:rsidR="00E80E9A" w:rsidRPr="00747910" w:rsidRDefault="00E80E9A">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E80E9A" w:rsidRDefault="00E80E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9A" w:rsidRDefault="00E80E9A" w:rsidP="00747910">
      <w:r>
        <w:separator/>
      </w:r>
    </w:p>
  </w:footnote>
  <w:footnote w:type="continuationSeparator" w:id="1">
    <w:p w:rsidR="00E80E9A" w:rsidRDefault="00E80E9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783"/>
    <w:multiLevelType w:val="hybridMultilevel"/>
    <w:tmpl w:val="A8425D4C"/>
    <w:lvl w:ilvl="0" w:tplc="543CD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34007"/>
    <w:rsid w:val="000400F3"/>
    <w:rsid w:val="00055304"/>
    <w:rsid w:val="00081B5A"/>
    <w:rsid w:val="00097701"/>
    <w:rsid w:val="000C4195"/>
    <w:rsid w:val="000C512D"/>
    <w:rsid w:val="000C64A5"/>
    <w:rsid w:val="000D62FF"/>
    <w:rsid w:val="000E2672"/>
    <w:rsid w:val="000E5906"/>
    <w:rsid w:val="000F5AEA"/>
    <w:rsid w:val="001209FA"/>
    <w:rsid w:val="001450C6"/>
    <w:rsid w:val="001774F0"/>
    <w:rsid w:val="001823B7"/>
    <w:rsid w:val="001A48C1"/>
    <w:rsid w:val="001C093E"/>
    <w:rsid w:val="001C1B4F"/>
    <w:rsid w:val="001D2264"/>
    <w:rsid w:val="0020510B"/>
    <w:rsid w:val="00212E13"/>
    <w:rsid w:val="002329B9"/>
    <w:rsid w:val="002431E5"/>
    <w:rsid w:val="0026059C"/>
    <w:rsid w:val="00275D00"/>
    <w:rsid w:val="00282549"/>
    <w:rsid w:val="002935E2"/>
    <w:rsid w:val="002D2926"/>
    <w:rsid w:val="002E3B72"/>
    <w:rsid w:val="002F709E"/>
    <w:rsid w:val="00306F8C"/>
    <w:rsid w:val="0035526B"/>
    <w:rsid w:val="00365A17"/>
    <w:rsid w:val="003773D0"/>
    <w:rsid w:val="00381CF3"/>
    <w:rsid w:val="003A27FC"/>
    <w:rsid w:val="003A617A"/>
    <w:rsid w:val="003C7D06"/>
    <w:rsid w:val="003D7ABE"/>
    <w:rsid w:val="003E56FE"/>
    <w:rsid w:val="00424065"/>
    <w:rsid w:val="00435D1A"/>
    <w:rsid w:val="00441BC6"/>
    <w:rsid w:val="00444EB1"/>
    <w:rsid w:val="00445921"/>
    <w:rsid w:val="00466F50"/>
    <w:rsid w:val="004A01C7"/>
    <w:rsid w:val="004A4A2C"/>
    <w:rsid w:val="004B0F41"/>
    <w:rsid w:val="004C56EA"/>
    <w:rsid w:val="004C701C"/>
    <w:rsid w:val="004F7B6D"/>
    <w:rsid w:val="0051667D"/>
    <w:rsid w:val="005510F5"/>
    <w:rsid w:val="005749E8"/>
    <w:rsid w:val="00585D26"/>
    <w:rsid w:val="005A2AA2"/>
    <w:rsid w:val="005A6736"/>
    <w:rsid w:val="005C296C"/>
    <w:rsid w:val="005E529D"/>
    <w:rsid w:val="006250C9"/>
    <w:rsid w:val="00694E57"/>
    <w:rsid w:val="006C6D2B"/>
    <w:rsid w:val="006E570D"/>
    <w:rsid w:val="00710036"/>
    <w:rsid w:val="00717526"/>
    <w:rsid w:val="007439B2"/>
    <w:rsid w:val="00747910"/>
    <w:rsid w:val="0075091C"/>
    <w:rsid w:val="00774B5E"/>
    <w:rsid w:val="007964BF"/>
    <w:rsid w:val="007A51C3"/>
    <w:rsid w:val="00813A13"/>
    <w:rsid w:val="008273B9"/>
    <w:rsid w:val="00833454"/>
    <w:rsid w:val="00894095"/>
    <w:rsid w:val="008A11D6"/>
    <w:rsid w:val="008D6622"/>
    <w:rsid w:val="00900716"/>
    <w:rsid w:val="00904994"/>
    <w:rsid w:val="00913A1E"/>
    <w:rsid w:val="00917458"/>
    <w:rsid w:val="00926900"/>
    <w:rsid w:val="00944BB9"/>
    <w:rsid w:val="009572B7"/>
    <w:rsid w:val="00986162"/>
    <w:rsid w:val="00997222"/>
    <w:rsid w:val="009977D8"/>
    <w:rsid w:val="00A032B6"/>
    <w:rsid w:val="00A42F10"/>
    <w:rsid w:val="00A654E1"/>
    <w:rsid w:val="00A76266"/>
    <w:rsid w:val="00A81410"/>
    <w:rsid w:val="00AA07C3"/>
    <w:rsid w:val="00AB326C"/>
    <w:rsid w:val="00AC1EFA"/>
    <w:rsid w:val="00AC6E73"/>
    <w:rsid w:val="00AE51C6"/>
    <w:rsid w:val="00AF3311"/>
    <w:rsid w:val="00AF591D"/>
    <w:rsid w:val="00AF718F"/>
    <w:rsid w:val="00B003A5"/>
    <w:rsid w:val="00BA7EF3"/>
    <w:rsid w:val="00BE7BA6"/>
    <w:rsid w:val="00C01DCA"/>
    <w:rsid w:val="00C24D52"/>
    <w:rsid w:val="00C3734A"/>
    <w:rsid w:val="00C43442"/>
    <w:rsid w:val="00C557CA"/>
    <w:rsid w:val="00C72A78"/>
    <w:rsid w:val="00C77370"/>
    <w:rsid w:val="00CA1791"/>
    <w:rsid w:val="00CC2357"/>
    <w:rsid w:val="00CD0B28"/>
    <w:rsid w:val="00CE4AD2"/>
    <w:rsid w:val="00D25A39"/>
    <w:rsid w:val="00D67A19"/>
    <w:rsid w:val="00D85F24"/>
    <w:rsid w:val="00D96E34"/>
    <w:rsid w:val="00DA6CA4"/>
    <w:rsid w:val="00E17FF8"/>
    <w:rsid w:val="00E265BC"/>
    <w:rsid w:val="00E37FF1"/>
    <w:rsid w:val="00E51F48"/>
    <w:rsid w:val="00E56D4E"/>
    <w:rsid w:val="00E60F77"/>
    <w:rsid w:val="00E6678D"/>
    <w:rsid w:val="00E67E5E"/>
    <w:rsid w:val="00E80E9A"/>
    <w:rsid w:val="00E85CE2"/>
    <w:rsid w:val="00E90A11"/>
    <w:rsid w:val="00E90DB1"/>
    <w:rsid w:val="00E92C98"/>
    <w:rsid w:val="00E975E9"/>
    <w:rsid w:val="00ED67B4"/>
    <w:rsid w:val="00ED6930"/>
    <w:rsid w:val="00F1479C"/>
    <w:rsid w:val="00F16008"/>
    <w:rsid w:val="00F253A2"/>
    <w:rsid w:val="00F56F72"/>
    <w:rsid w:val="00F64381"/>
    <w:rsid w:val="00F72C4D"/>
    <w:rsid w:val="00FA6E55"/>
    <w:rsid w:val="00FB3EFB"/>
    <w:rsid w:val="00FD35EE"/>
    <w:rsid w:val="00FE0751"/>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paragraph" w:styleId="af">
    <w:name w:val="Document Map"/>
    <w:basedOn w:val="a"/>
    <w:link w:val="af0"/>
    <w:rsid w:val="00D67A19"/>
    <w:rPr>
      <w:rFonts w:ascii="Tahoma" w:hAnsi="Tahoma" w:cs="Tahoma"/>
      <w:sz w:val="16"/>
      <w:szCs w:val="16"/>
    </w:rPr>
  </w:style>
  <w:style w:type="character" w:customStyle="1" w:styleId="af0">
    <w:name w:val="Схема документа Знак"/>
    <w:basedOn w:val="a0"/>
    <w:link w:val="af"/>
    <w:rsid w:val="00D6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0286524">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2020-11-11T11:57:00Z</cp:lastPrinted>
  <dcterms:created xsi:type="dcterms:W3CDTF">2020-11-11T11:47:00Z</dcterms:created>
  <dcterms:modified xsi:type="dcterms:W3CDTF">2020-11-11T11:58:00Z</dcterms:modified>
</cp:coreProperties>
</file>