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7476E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DD79B9"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 xml:space="preserve">О </w:t>
      </w:r>
      <w:proofErr w:type="gramStart"/>
      <w:r w:rsidRPr="00C157C4">
        <w:rPr>
          <w:b/>
        </w:rPr>
        <w:t>П</w:t>
      </w:r>
      <w:proofErr w:type="gramEnd"/>
      <w:r w:rsidRPr="00C157C4">
        <w:rPr>
          <w:b/>
        </w:rPr>
        <w:t xml:space="preserve">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0019640D">
        <w:rPr>
          <w:b/>
        </w:rPr>
        <w:t xml:space="preserve">искового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Tr="00C4466F">
        <w:trPr>
          <w:trHeight w:val="259"/>
        </w:trPr>
        <w:tc>
          <w:tcPr>
            <w:tcW w:w="4952" w:type="dxa"/>
            <w:gridSpan w:val="7"/>
            <w:hideMark/>
          </w:tcPr>
          <w:p w:rsidR="00C4466F" w:rsidRDefault="00C4466F" w:rsidP="007C4EEE">
            <w:pPr>
              <w:rPr>
                <w:rFonts w:eastAsia="Calibri"/>
                <w:bCs/>
                <w:sz w:val="20"/>
                <w:szCs w:val="20"/>
                <w:u w:val="single"/>
              </w:rPr>
            </w:pPr>
            <w:r w:rsidRPr="00D806E8">
              <w:rPr>
                <w:rFonts w:eastAsia="Calibri"/>
                <w:u w:val="single"/>
              </w:rPr>
              <w:t>«</w:t>
            </w:r>
            <w:r w:rsidR="007C4EEE">
              <w:rPr>
                <w:rFonts w:eastAsia="Calibri"/>
                <w:u w:val="single"/>
              </w:rPr>
              <w:t>10</w:t>
            </w:r>
            <w:r w:rsidRPr="00D806E8">
              <w:rPr>
                <w:rFonts w:eastAsia="Calibri"/>
                <w:u w:val="single"/>
              </w:rPr>
              <w:t xml:space="preserve">» </w:t>
            </w:r>
            <w:r w:rsidR="007C4EEE">
              <w:rPr>
                <w:rFonts w:eastAsia="Calibri"/>
                <w:u w:val="single"/>
              </w:rPr>
              <w:t>сентября</w:t>
            </w:r>
            <w:r>
              <w:rPr>
                <w:rFonts w:eastAsia="Calibri"/>
                <w:u w:val="single"/>
              </w:rPr>
              <w:t xml:space="preserve"> 2020 года</w:t>
            </w:r>
          </w:p>
        </w:tc>
        <w:tc>
          <w:tcPr>
            <w:tcW w:w="4971" w:type="dxa"/>
            <w:gridSpan w:val="3"/>
          </w:tcPr>
          <w:p w:rsidR="00C4466F" w:rsidRPr="00D806E8" w:rsidRDefault="00C4466F">
            <w:pPr>
              <w:rPr>
                <w:rFonts w:eastAsia="Calibri"/>
                <w:u w:val="single"/>
              </w:rPr>
            </w:pPr>
            <w:r w:rsidRPr="00D806E8">
              <w:rPr>
                <w:rFonts w:eastAsia="Calibri"/>
                <w:bCs/>
              </w:rPr>
              <w:t xml:space="preserve">                                         </w:t>
            </w:r>
            <w:r w:rsidRPr="00D806E8">
              <w:rPr>
                <w:rFonts w:eastAsia="Calibri"/>
                <w:bCs/>
                <w:u w:val="single"/>
              </w:rPr>
              <w:t xml:space="preserve">Дело </w:t>
            </w:r>
            <w:r w:rsidRPr="00D806E8">
              <w:rPr>
                <w:rFonts w:eastAsia="Calibri"/>
                <w:u w:val="single"/>
              </w:rPr>
              <w:t>№</w:t>
            </w:r>
            <w:r w:rsidRPr="00D806E8">
              <w:rPr>
                <w:rFonts w:eastAsia="Calibri"/>
                <w:sz w:val="20"/>
                <w:szCs w:val="20"/>
                <w:u w:val="single"/>
              </w:rPr>
              <w:t xml:space="preserve"> </w:t>
            </w:r>
            <w:r w:rsidRPr="00D806E8">
              <w:rPr>
                <w:rFonts w:eastAsia="Calibri"/>
                <w:u w:val="single"/>
              </w:rPr>
              <w:t xml:space="preserve"> </w:t>
            </w:r>
            <w:r w:rsidR="007C4EEE">
              <w:rPr>
                <w:rFonts w:eastAsia="Calibri"/>
                <w:u w:val="single"/>
              </w:rPr>
              <w:t>574</w:t>
            </w:r>
            <w:r w:rsidRPr="00D806E8">
              <w:rPr>
                <w:rFonts w:eastAsia="Calibri"/>
                <w:u w:val="single"/>
              </w:rPr>
              <w:t>/20-02</w:t>
            </w:r>
          </w:p>
          <w:p w:rsidR="00C4466F" w:rsidRDefault="00C4466F">
            <w:pPr>
              <w:rPr>
                <w:rFonts w:eastAsia="Calibri"/>
                <w:b/>
                <w:bCs/>
                <w:sz w:val="20"/>
                <w:szCs w:val="20"/>
                <w:u w:val="single"/>
              </w:rPr>
            </w:pP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C4466F" w:rsidRPr="007476ED" w:rsidRDefault="00C4466F" w:rsidP="00233F99">
      <w:pPr>
        <w:tabs>
          <w:tab w:val="left" w:pos="9354"/>
        </w:tabs>
        <w:ind w:right="-2" w:firstLine="567"/>
        <w:jc w:val="both"/>
        <w:rPr>
          <w:color w:val="000000" w:themeColor="text1"/>
        </w:rPr>
      </w:pPr>
      <w:r>
        <w:t xml:space="preserve">Арбитражный суд Приднестровской Молдавской Республики в составе судьи            </w:t>
      </w:r>
      <w:proofErr w:type="spellStart"/>
      <w:r>
        <w:t>Е.В.Качуровской</w:t>
      </w:r>
      <w:proofErr w:type="spellEnd"/>
      <w:r>
        <w:t xml:space="preserve">, разрешая вопрос о принятии к производству </w:t>
      </w:r>
      <w:r w:rsidR="00431C13" w:rsidRPr="00883259">
        <w:t>искового заявления</w:t>
      </w:r>
      <w:r w:rsidR="00431C13">
        <w:t xml:space="preserve"> </w:t>
      </w:r>
      <w:r w:rsidR="007C4EEE">
        <w:t>открытого акционерного общества «</w:t>
      </w:r>
      <w:proofErr w:type="spellStart"/>
      <w:r w:rsidR="007C4EEE">
        <w:t>Агенство</w:t>
      </w:r>
      <w:proofErr w:type="spellEnd"/>
      <w:r w:rsidR="007C4EEE">
        <w:t xml:space="preserve"> по оздоровлению банковской системы» </w:t>
      </w:r>
      <w:r w:rsidR="00431C13">
        <w:t xml:space="preserve"> (г</w:t>
      </w:r>
      <w:proofErr w:type="gramStart"/>
      <w:r w:rsidR="00431C13">
        <w:t>.Т</w:t>
      </w:r>
      <w:proofErr w:type="gramEnd"/>
      <w:r w:rsidR="00431C13">
        <w:t>ирасполь, ул.</w:t>
      </w:r>
      <w:r w:rsidR="007C4EEE">
        <w:t>25 Октября,71</w:t>
      </w:r>
      <w:r w:rsidR="00431C13">
        <w:t xml:space="preserve">) к </w:t>
      </w:r>
      <w:r w:rsidR="007C4EEE">
        <w:t>обществу с ограниченной ответственностью «</w:t>
      </w:r>
      <w:proofErr w:type="spellStart"/>
      <w:r w:rsidR="007C4EEE">
        <w:t>Мирант</w:t>
      </w:r>
      <w:proofErr w:type="spellEnd"/>
      <w:r w:rsidR="007C4EEE">
        <w:t>» (</w:t>
      </w:r>
      <w:proofErr w:type="spellStart"/>
      <w:r w:rsidR="007C4EEE">
        <w:t>Слободзейский</w:t>
      </w:r>
      <w:proofErr w:type="spellEnd"/>
      <w:r w:rsidR="007C4EEE">
        <w:t xml:space="preserve"> район </w:t>
      </w:r>
      <w:proofErr w:type="spellStart"/>
      <w:r w:rsidR="007C4EEE">
        <w:t>с.Бл.Хутор</w:t>
      </w:r>
      <w:proofErr w:type="spellEnd"/>
      <w:r w:rsidR="007C4EEE">
        <w:t>, ул.Озерная. д.7</w:t>
      </w:r>
      <w:r w:rsidR="00431C13">
        <w:t xml:space="preserve">) о взыскании </w:t>
      </w:r>
      <w:r w:rsidR="007C4EEE">
        <w:t>задолженности</w:t>
      </w:r>
      <w:r w:rsidRPr="007476ED">
        <w:rPr>
          <w:color w:val="000000" w:themeColor="text1"/>
        </w:rPr>
        <w:t>, а также изучив приложенные к нему документы,</w:t>
      </w:r>
    </w:p>
    <w:p w:rsidR="00431C13" w:rsidRDefault="00431C13" w:rsidP="00431C13">
      <w:pPr>
        <w:ind w:firstLine="708"/>
        <w:jc w:val="both"/>
      </w:pPr>
    </w:p>
    <w:p w:rsidR="00431C13" w:rsidRDefault="00431C13" w:rsidP="00875944">
      <w:pPr>
        <w:tabs>
          <w:tab w:val="right" w:pos="10148"/>
        </w:tabs>
        <w:jc w:val="center"/>
      </w:pPr>
      <w:r w:rsidRPr="00FF7E7C">
        <w:rPr>
          <w:b/>
        </w:rPr>
        <w:t>установил</w:t>
      </w:r>
      <w:r w:rsidRPr="00045342">
        <w:t>:</w:t>
      </w:r>
    </w:p>
    <w:p w:rsidR="00431C13" w:rsidRDefault="00431C13" w:rsidP="00431C13">
      <w:pPr>
        <w:tabs>
          <w:tab w:val="right" w:pos="10148"/>
        </w:tabs>
        <w:ind w:firstLine="900"/>
        <w:jc w:val="center"/>
      </w:pPr>
    </w:p>
    <w:p w:rsidR="00431C13" w:rsidRDefault="00593628" w:rsidP="00233F99">
      <w:pPr>
        <w:tabs>
          <w:tab w:val="right" w:pos="10148"/>
        </w:tabs>
        <w:ind w:firstLine="567"/>
        <w:jc w:val="both"/>
      </w:pPr>
      <w:r>
        <w:t>И</w:t>
      </w:r>
      <w:r w:rsidR="00431C13">
        <w:t>сковое заявление подано с нарушением требований ст.</w:t>
      </w:r>
      <w:r w:rsidR="00431C13" w:rsidRPr="00B24CBA">
        <w:t>93</w:t>
      </w:r>
      <w:r w:rsidR="00431C13">
        <w:t xml:space="preserve"> АПК ПМР.</w:t>
      </w:r>
    </w:p>
    <w:p w:rsidR="007C4EEE" w:rsidRPr="00B24CBA" w:rsidRDefault="00431C13" w:rsidP="007C4EEE">
      <w:pPr>
        <w:tabs>
          <w:tab w:val="right" w:pos="10148"/>
        </w:tabs>
        <w:ind w:firstLine="567"/>
        <w:jc w:val="both"/>
      </w:pPr>
      <w:r w:rsidRPr="00B24CBA">
        <w:t xml:space="preserve">Так, в соответствии </w:t>
      </w:r>
      <w:r w:rsidR="007C4EEE" w:rsidRPr="00B24CBA">
        <w:t xml:space="preserve">с подпунктом </w:t>
      </w:r>
      <w:proofErr w:type="spellStart"/>
      <w:r w:rsidR="007C4EEE" w:rsidRPr="00B24CBA">
        <w:t>д</w:t>
      </w:r>
      <w:proofErr w:type="spellEnd"/>
      <w:r w:rsidR="007C4EEE" w:rsidRPr="00B24CBA">
        <w:t>) пункта 2 статьи 91 АПК ПМР в исковом заявлении должны быть указаны обстоятельства, на которых основаны исковые требования, и подтверждающие эти обстоятельства доказательства.</w:t>
      </w:r>
    </w:p>
    <w:p w:rsidR="00B24CBA" w:rsidRPr="00B24CBA" w:rsidRDefault="00B24CBA" w:rsidP="00B24CBA">
      <w:pPr>
        <w:tabs>
          <w:tab w:val="right" w:pos="10148"/>
        </w:tabs>
        <w:ind w:firstLine="567"/>
        <w:jc w:val="both"/>
      </w:pPr>
      <w:r>
        <w:t xml:space="preserve">Согласно </w:t>
      </w:r>
      <w:r w:rsidRPr="00B24CBA">
        <w:t>подпункт</w:t>
      </w:r>
      <w:r w:rsidR="00CF6854">
        <w:t>у</w:t>
      </w:r>
      <w:r w:rsidRPr="00B24CBA">
        <w:t xml:space="preserve"> г) части 1</w:t>
      </w:r>
      <w:r w:rsidR="00431C13" w:rsidRPr="00B24CBA">
        <w:t xml:space="preserve"> ст. 93 АПК ПМР к исковому заявлению </w:t>
      </w:r>
      <w:r w:rsidR="00593628" w:rsidRPr="00B24CBA">
        <w:t>должны быть приложены</w:t>
      </w:r>
      <w:r w:rsidRPr="00B24CBA">
        <w:t xml:space="preserve"> документы, подтверждающие обстоятельства, на которых основываются исковые требования.</w:t>
      </w:r>
    </w:p>
    <w:p w:rsidR="007C4EEE" w:rsidRDefault="00CF6854" w:rsidP="007C4EEE">
      <w:pPr>
        <w:tabs>
          <w:tab w:val="right" w:pos="10148"/>
        </w:tabs>
        <w:ind w:firstLine="567"/>
        <w:jc w:val="both"/>
      </w:pPr>
      <w:r>
        <w:t>В</w:t>
      </w:r>
      <w:r w:rsidR="00B24CBA">
        <w:t xml:space="preserve"> обоснование заявленных требований истец ссылается на А</w:t>
      </w:r>
      <w:proofErr w:type="gramStart"/>
      <w:r w:rsidR="00B24CBA">
        <w:t>кт взв</w:t>
      </w:r>
      <w:proofErr w:type="gramEnd"/>
      <w:r w:rsidR="00B24CBA">
        <w:t xml:space="preserve">ешивания от </w:t>
      </w:r>
      <w:r>
        <w:t xml:space="preserve">                   </w:t>
      </w:r>
      <w:r w:rsidR="00B24CBA">
        <w:t xml:space="preserve">06 июля 2020 г., согласно которому вес </w:t>
      </w:r>
      <w:r w:rsidR="00A22B82">
        <w:t>имущества, переданного по договору от 24 июня 2020 г., составляет 23 480 кг.</w:t>
      </w:r>
    </w:p>
    <w:p w:rsidR="00A22B82" w:rsidRDefault="00A22B82" w:rsidP="00A22B82">
      <w:pPr>
        <w:tabs>
          <w:tab w:val="right" w:pos="10148"/>
        </w:tabs>
        <w:ind w:firstLine="567"/>
        <w:jc w:val="both"/>
      </w:pPr>
      <w:r>
        <w:t>Однако, в приложенных к исковому документах Акт, содержащий  вес имущества -  23 480 кг</w:t>
      </w:r>
      <w:proofErr w:type="gramStart"/>
      <w:r>
        <w:t>.</w:t>
      </w:r>
      <w:proofErr w:type="gramEnd"/>
      <w:r>
        <w:t xml:space="preserve"> </w:t>
      </w:r>
      <w:proofErr w:type="gramStart"/>
      <w:r>
        <w:t>о</w:t>
      </w:r>
      <w:proofErr w:type="gramEnd"/>
      <w:r>
        <w:t xml:space="preserve">тсутствует. </w:t>
      </w:r>
    </w:p>
    <w:p w:rsidR="00741D3F" w:rsidRDefault="00741D3F" w:rsidP="00A22B82">
      <w:pPr>
        <w:tabs>
          <w:tab w:val="right" w:pos="10148"/>
        </w:tabs>
        <w:ind w:firstLine="567"/>
        <w:jc w:val="both"/>
      </w:pPr>
      <w:r>
        <w:t xml:space="preserve">Кроме того, в исковом заявлении указано о направлении в адрес ответчика Претензии № 2/228 от 21 июля 2020 г. с требованием о подписании Соглашения о стоимости имущества от 13 июля 2020 г. и оплаты имущества. </w:t>
      </w:r>
    </w:p>
    <w:p w:rsidR="00741D3F" w:rsidRDefault="00741D3F" w:rsidP="00A22B82">
      <w:pPr>
        <w:tabs>
          <w:tab w:val="right" w:pos="10148"/>
        </w:tabs>
        <w:ind w:firstLine="567"/>
        <w:jc w:val="both"/>
      </w:pPr>
      <w:r>
        <w:t>Однако доказательства направления претензии не представлены  (копия почтового уведомления либо иного документа).</w:t>
      </w:r>
    </w:p>
    <w:p w:rsidR="00431C13" w:rsidRDefault="00431C13" w:rsidP="00233F99">
      <w:pPr>
        <w:tabs>
          <w:tab w:val="right" w:pos="10148"/>
        </w:tabs>
        <w:ind w:firstLine="567"/>
        <w:jc w:val="both"/>
      </w:pPr>
      <w:r>
        <w:t xml:space="preserve">В силу п.1 ст.96-1 АПК ПМР </w:t>
      </w:r>
      <w:r w:rsidR="00593628">
        <w:t>А</w:t>
      </w:r>
      <w:r>
        <w:t xml:space="preserve">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91-93 АПК ПМР, выносит определение об оставлении заявления без движения. </w:t>
      </w:r>
    </w:p>
    <w:p w:rsidR="00233F99" w:rsidRDefault="00233F99" w:rsidP="00233F99">
      <w:pPr>
        <w:spacing w:line="19" w:lineRule="atLeast"/>
        <w:ind w:right="-1" w:firstLine="567"/>
        <w:jc w:val="both"/>
        <w:rPr>
          <w:color w:val="000000"/>
        </w:rPr>
      </w:pPr>
      <w:r>
        <w:t xml:space="preserve">При таких обстоятельствах, учитывая, что </w:t>
      </w:r>
      <w:r w:rsidR="00DD55BA">
        <w:t xml:space="preserve">исковое </w:t>
      </w:r>
      <w:r>
        <w:t xml:space="preserve">заявление подано с нарушением  требований </w:t>
      </w:r>
      <w:r w:rsidRPr="007476ED">
        <w:t>статьи 93 АПК ПМР</w:t>
      </w:r>
      <w:r>
        <w:t xml:space="preserve">, оно подлежит оставлению без движения с предоставлением срока для устранения недостатков.   </w:t>
      </w:r>
    </w:p>
    <w:p w:rsidR="00233F99" w:rsidRDefault="00431C13" w:rsidP="00233F99">
      <w:pPr>
        <w:spacing w:line="19" w:lineRule="atLeast"/>
        <w:ind w:right="-1" w:firstLine="567"/>
        <w:jc w:val="both"/>
      </w:pPr>
      <w:r>
        <w:lastRenderedPageBreak/>
        <w:t>На основании изложенного и руководствуясь ст.</w:t>
      </w:r>
      <w:r w:rsidRPr="00B950BD">
        <w:t>ст.</w:t>
      </w:r>
      <w:r>
        <w:t xml:space="preserve">93, 96-1, 128 </w:t>
      </w:r>
      <w:r w:rsidR="00233F99">
        <w:t>Арбитражного процессуального кодекса Приднестровской Молдавской Республики,</w:t>
      </w:r>
    </w:p>
    <w:p w:rsidR="00431C13" w:rsidRDefault="00431C13" w:rsidP="00C4466F">
      <w:pPr>
        <w:tabs>
          <w:tab w:val="left" w:pos="9354"/>
        </w:tabs>
        <w:ind w:right="-2" w:firstLine="709"/>
        <w:jc w:val="both"/>
      </w:pPr>
    </w:p>
    <w:p w:rsidR="00C4466F" w:rsidRDefault="00C4466F" w:rsidP="00C4466F">
      <w:pPr>
        <w:jc w:val="center"/>
        <w:rPr>
          <w:b/>
        </w:rPr>
      </w:pPr>
      <w:r>
        <w:rPr>
          <w:b/>
        </w:rPr>
        <w:t xml:space="preserve">О </w:t>
      </w:r>
      <w:proofErr w:type="gramStart"/>
      <w:r>
        <w:rPr>
          <w:b/>
        </w:rPr>
        <w:t>П</w:t>
      </w:r>
      <w:proofErr w:type="gramEnd"/>
      <w:r>
        <w:rPr>
          <w:b/>
        </w:rPr>
        <w:t xml:space="preserve"> Р Е Д Е Л И Л:</w:t>
      </w:r>
    </w:p>
    <w:p w:rsidR="00C4466F" w:rsidRDefault="00C4466F" w:rsidP="00C4466F">
      <w:pPr>
        <w:jc w:val="center"/>
        <w:rPr>
          <w:b/>
        </w:rPr>
      </w:pPr>
    </w:p>
    <w:p w:rsidR="00C4466F" w:rsidRDefault="00905764" w:rsidP="00C4466F">
      <w:pPr>
        <w:numPr>
          <w:ilvl w:val="0"/>
          <w:numId w:val="5"/>
        </w:numPr>
        <w:ind w:left="0" w:firstLine="709"/>
        <w:jc w:val="both"/>
      </w:pPr>
      <w:r>
        <w:t>Исковое з</w:t>
      </w:r>
      <w:r w:rsidR="00C4466F">
        <w:t>аявление</w:t>
      </w:r>
      <w:r w:rsidR="00A22B82">
        <w:t xml:space="preserve"> открытого акционерного общества «</w:t>
      </w:r>
      <w:proofErr w:type="spellStart"/>
      <w:r w:rsidR="00A22B82">
        <w:t>Агенство</w:t>
      </w:r>
      <w:proofErr w:type="spellEnd"/>
      <w:r w:rsidR="00A22B82">
        <w:t xml:space="preserve"> по оздоровлению банковской системы»  к обществу с ограниченной ответственностью «</w:t>
      </w:r>
      <w:proofErr w:type="spellStart"/>
      <w:r w:rsidR="00A22B82">
        <w:t>Мирант</w:t>
      </w:r>
      <w:proofErr w:type="spellEnd"/>
      <w:r w:rsidR="00A22B82">
        <w:t>» о взыскании задолженности</w:t>
      </w:r>
      <w:r w:rsidR="00233F99" w:rsidRPr="00A22B82">
        <w:rPr>
          <w:color w:val="000000" w:themeColor="text1"/>
        </w:rPr>
        <w:t>,</w:t>
      </w:r>
      <w:r w:rsidR="00C4466F">
        <w:t xml:space="preserve"> оставить без движения. </w:t>
      </w:r>
    </w:p>
    <w:p w:rsidR="00C4466F" w:rsidRDefault="00C4466F" w:rsidP="00C4466F">
      <w:pPr>
        <w:numPr>
          <w:ilvl w:val="0"/>
          <w:numId w:val="5"/>
        </w:numPr>
        <w:ind w:left="0" w:firstLine="709"/>
        <w:jc w:val="both"/>
      </w:pPr>
      <w:r>
        <w:t xml:space="preserve">Предложить заявителю в срок </w:t>
      </w:r>
      <w:r w:rsidRPr="002066DF">
        <w:rPr>
          <w:b/>
        </w:rPr>
        <w:t xml:space="preserve">до </w:t>
      </w:r>
      <w:r w:rsidR="00A22B82" w:rsidRPr="002066DF">
        <w:rPr>
          <w:b/>
        </w:rPr>
        <w:t>23 сентября</w:t>
      </w:r>
      <w:r w:rsidR="00430AD7" w:rsidRPr="002066DF">
        <w:rPr>
          <w:b/>
        </w:rPr>
        <w:t xml:space="preserve"> </w:t>
      </w:r>
      <w:r w:rsidRPr="002066DF">
        <w:rPr>
          <w:b/>
        </w:rPr>
        <w:t xml:space="preserve">2020 года </w:t>
      </w:r>
      <w:r w:rsidRPr="002066DF">
        <w:t>включительно</w:t>
      </w:r>
      <w:r>
        <w:t xml:space="preserve"> устранить указанные в определении несоответствия заявления требованиям Арбитражного процессуального кодекса ПМР.</w:t>
      </w:r>
    </w:p>
    <w:p w:rsidR="00C4466F" w:rsidRPr="00430AD7" w:rsidRDefault="00C4466F" w:rsidP="00C4466F">
      <w:pPr>
        <w:numPr>
          <w:ilvl w:val="0"/>
          <w:numId w:val="5"/>
        </w:numPr>
        <w:ind w:left="0" w:firstLine="709"/>
        <w:jc w:val="both"/>
      </w:pPr>
      <w:r>
        <w:t xml:space="preserve">Документы, устраняющие обстоятельства, послужившие основанием для оставления заявления без движения, должны поступить непосредственно в канцелярию Арбитражного суда ПМР не позднее </w:t>
      </w:r>
      <w:r w:rsidRPr="00430AD7">
        <w:t xml:space="preserve">15 часов </w:t>
      </w:r>
      <w:r w:rsidR="00A22B82">
        <w:t>23 сентября</w:t>
      </w:r>
      <w:r w:rsidRPr="00430AD7">
        <w:t xml:space="preserve"> 2020 года. </w:t>
      </w:r>
    </w:p>
    <w:p w:rsidR="00C4466F" w:rsidRDefault="00C4466F" w:rsidP="00C4466F">
      <w:pPr>
        <w:numPr>
          <w:ilvl w:val="0"/>
          <w:numId w:val="5"/>
        </w:numPr>
        <w:ind w:left="0" w:firstLine="709"/>
        <w:jc w:val="both"/>
      </w:pPr>
      <w:r>
        <w:t xml:space="preserve">Разъяснить  </w:t>
      </w:r>
      <w:r w:rsidR="00DD55BA">
        <w:t>истцу</w:t>
      </w:r>
      <w:r>
        <w:t>, что  в  случае, если указанные в определении недостатки    не будут  устранены в установленный судом срок, заявление и приложенные к нему документы будут возвращены в порядке статьи 97 АПК ПМР.</w:t>
      </w:r>
    </w:p>
    <w:p w:rsidR="00C4466F" w:rsidRDefault="00C4466F" w:rsidP="00C4466F">
      <w:pPr>
        <w:ind w:left="709"/>
        <w:jc w:val="both"/>
      </w:pPr>
    </w:p>
    <w:p w:rsidR="00C4466F" w:rsidRDefault="00C4466F" w:rsidP="00C4466F">
      <w:pPr>
        <w:ind w:left="709"/>
        <w:jc w:val="both"/>
      </w:pPr>
      <w:r>
        <w:t xml:space="preserve">Определение не обжалуется. </w:t>
      </w:r>
    </w:p>
    <w:p w:rsidR="00C4466F" w:rsidRDefault="00C4466F" w:rsidP="00C4466F">
      <w:pPr>
        <w:ind w:left="709"/>
        <w:jc w:val="both"/>
      </w:pPr>
    </w:p>
    <w:p w:rsidR="00C4466F" w:rsidRDefault="00C4466F" w:rsidP="00C4466F">
      <w:pPr>
        <w:jc w:val="both"/>
        <w:rPr>
          <w:b/>
        </w:rPr>
      </w:pPr>
    </w:p>
    <w:p w:rsidR="00C4466F" w:rsidRDefault="00C4466F" w:rsidP="00C4466F">
      <w:pPr>
        <w:jc w:val="both"/>
        <w:rPr>
          <w:b/>
        </w:rPr>
      </w:pPr>
      <w:r>
        <w:rPr>
          <w:b/>
        </w:rPr>
        <w:t xml:space="preserve">Судья Арбитражного суда </w:t>
      </w:r>
    </w:p>
    <w:p w:rsidR="00C4466F" w:rsidRDefault="00C4466F" w:rsidP="00C4466F">
      <w:pPr>
        <w:jc w:val="both"/>
      </w:pPr>
      <w:r>
        <w:rPr>
          <w:b/>
        </w:rPr>
        <w:t xml:space="preserve">Приднестровской Молдавской Республики                                        </w:t>
      </w:r>
      <w:proofErr w:type="spellStart"/>
      <w:r>
        <w:rPr>
          <w:b/>
        </w:rPr>
        <w:t>Е.В.Качуровская</w:t>
      </w:r>
      <w:proofErr w:type="spellEnd"/>
    </w:p>
    <w:p w:rsidR="00C4466F" w:rsidRDefault="00C4466F" w:rsidP="00C4466F">
      <w:pPr>
        <w:ind w:right="-144"/>
        <w:jc w:val="both"/>
      </w:pPr>
    </w:p>
    <w:p w:rsidR="00C4466F" w:rsidRDefault="00C4466F" w:rsidP="00C4466F">
      <w:pPr>
        <w:ind w:right="-144"/>
        <w:jc w:val="both"/>
      </w:pPr>
    </w:p>
    <w:p w:rsidR="00C4466F" w:rsidRDefault="00C4466F" w:rsidP="00C4466F">
      <w:pPr>
        <w:ind w:right="-144"/>
        <w:jc w:val="both"/>
      </w:pPr>
    </w:p>
    <w:p w:rsidR="0033702F" w:rsidRDefault="0033702F" w:rsidP="0033702F"/>
    <w:p w:rsidR="00FF32CB" w:rsidRPr="00217B40" w:rsidRDefault="00FF32CB" w:rsidP="00FF32CB"/>
    <w:p w:rsidR="00FF32CB" w:rsidRDefault="00FF32CB" w:rsidP="00FF32CB"/>
    <w:p w:rsidR="00717526" w:rsidRPr="00FF32CB" w:rsidRDefault="00FF32CB" w:rsidP="00FF32CB">
      <w:pPr>
        <w:tabs>
          <w:tab w:val="left" w:pos="3860"/>
        </w:tabs>
      </w:pPr>
      <w:r>
        <w:tab/>
      </w:r>
    </w:p>
    <w:sectPr w:rsidR="00717526" w:rsidRPr="00FF32CB" w:rsidSect="00DC1560">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C8F" w:rsidRDefault="00970C8F" w:rsidP="00747910">
      <w:r>
        <w:separator/>
      </w:r>
    </w:p>
  </w:endnote>
  <w:endnote w:type="continuationSeparator" w:id="1">
    <w:p w:rsidR="00970C8F" w:rsidRDefault="00970C8F"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DD79B9">
    <w:pPr>
      <w:pStyle w:val="a7"/>
      <w:jc w:val="right"/>
    </w:pPr>
    <w:fldSimple w:instr=" PAGE   \* MERGEFORMAT ">
      <w:r w:rsidR="00875944">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C8F" w:rsidRDefault="00970C8F" w:rsidP="00747910">
      <w:r>
        <w:separator/>
      </w:r>
    </w:p>
  </w:footnote>
  <w:footnote w:type="continuationSeparator" w:id="1">
    <w:p w:rsidR="00970C8F" w:rsidRDefault="00970C8F"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90138"/>
    <w:rsid w:val="000A546F"/>
    <w:rsid w:val="000A5F1A"/>
    <w:rsid w:val="000A64D9"/>
    <w:rsid w:val="000C299C"/>
    <w:rsid w:val="000C4195"/>
    <w:rsid w:val="000C512D"/>
    <w:rsid w:val="000C543C"/>
    <w:rsid w:val="000C64A5"/>
    <w:rsid w:val="000C6F79"/>
    <w:rsid w:val="000C74AD"/>
    <w:rsid w:val="000D4216"/>
    <w:rsid w:val="000E2672"/>
    <w:rsid w:val="000E2924"/>
    <w:rsid w:val="000E5906"/>
    <w:rsid w:val="001025FB"/>
    <w:rsid w:val="00102C6F"/>
    <w:rsid w:val="00110342"/>
    <w:rsid w:val="001133E7"/>
    <w:rsid w:val="00113E7E"/>
    <w:rsid w:val="00120C5E"/>
    <w:rsid w:val="00127071"/>
    <w:rsid w:val="0013095E"/>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F3C5C"/>
    <w:rsid w:val="002066DF"/>
    <w:rsid w:val="00212E13"/>
    <w:rsid w:val="00217B40"/>
    <w:rsid w:val="00221F89"/>
    <w:rsid w:val="00226240"/>
    <w:rsid w:val="00232BFB"/>
    <w:rsid w:val="00233F99"/>
    <w:rsid w:val="002431E5"/>
    <w:rsid w:val="00246584"/>
    <w:rsid w:val="0025700C"/>
    <w:rsid w:val="0026059C"/>
    <w:rsid w:val="00267881"/>
    <w:rsid w:val="00273A5F"/>
    <w:rsid w:val="002808B8"/>
    <w:rsid w:val="0028313C"/>
    <w:rsid w:val="00286C88"/>
    <w:rsid w:val="002935E2"/>
    <w:rsid w:val="00295DA5"/>
    <w:rsid w:val="002A6602"/>
    <w:rsid w:val="002B05B4"/>
    <w:rsid w:val="002B36F7"/>
    <w:rsid w:val="002B480A"/>
    <w:rsid w:val="002D25D2"/>
    <w:rsid w:val="002D2926"/>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6EAA"/>
    <w:rsid w:val="00410251"/>
    <w:rsid w:val="00416AA6"/>
    <w:rsid w:val="00424065"/>
    <w:rsid w:val="0042654C"/>
    <w:rsid w:val="00430AD7"/>
    <w:rsid w:val="00431C13"/>
    <w:rsid w:val="00435D1A"/>
    <w:rsid w:val="0044288A"/>
    <w:rsid w:val="00444EB1"/>
    <w:rsid w:val="004712D9"/>
    <w:rsid w:val="00471363"/>
    <w:rsid w:val="0048795F"/>
    <w:rsid w:val="004A01C7"/>
    <w:rsid w:val="004A56D7"/>
    <w:rsid w:val="004A7283"/>
    <w:rsid w:val="004B0F41"/>
    <w:rsid w:val="004B1ACD"/>
    <w:rsid w:val="004C56EA"/>
    <w:rsid w:val="004C701C"/>
    <w:rsid w:val="004D052C"/>
    <w:rsid w:val="004D38A6"/>
    <w:rsid w:val="004F2FAE"/>
    <w:rsid w:val="004F7B6D"/>
    <w:rsid w:val="00503FA0"/>
    <w:rsid w:val="0051667D"/>
    <w:rsid w:val="00516DB6"/>
    <w:rsid w:val="00526E29"/>
    <w:rsid w:val="00527E4B"/>
    <w:rsid w:val="0053648F"/>
    <w:rsid w:val="00571459"/>
    <w:rsid w:val="0057381C"/>
    <w:rsid w:val="00576ABA"/>
    <w:rsid w:val="00592802"/>
    <w:rsid w:val="00593628"/>
    <w:rsid w:val="005943EE"/>
    <w:rsid w:val="005A6736"/>
    <w:rsid w:val="005B5914"/>
    <w:rsid w:val="005E3BA1"/>
    <w:rsid w:val="00622DFF"/>
    <w:rsid w:val="00624A85"/>
    <w:rsid w:val="006251BA"/>
    <w:rsid w:val="00625EB9"/>
    <w:rsid w:val="00627EC2"/>
    <w:rsid w:val="0063082F"/>
    <w:rsid w:val="00637C39"/>
    <w:rsid w:val="00637EFE"/>
    <w:rsid w:val="00654412"/>
    <w:rsid w:val="006573F5"/>
    <w:rsid w:val="006610C5"/>
    <w:rsid w:val="00663824"/>
    <w:rsid w:val="00694E57"/>
    <w:rsid w:val="006B32AD"/>
    <w:rsid w:val="006C6D2B"/>
    <w:rsid w:val="006D3846"/>
    <w:rsid w:val="006D4ABD"/>
    <w:rsid w:val="006D5BB2"/>
    <w:rsid w:val="006E570D"/>
    <w:rsid w:val="006E5DE1"/>
    <w:rsid w:val="0070107B"/>
    <w:rsid w:val="00707DB2"/>
    <w:rsid w:val="00710036"/>
    <w:rsid w:val="00717526"/>
    <w:rsid w:val="00717C09"/>
    <w:rsid w:val="00723729"/>
    <w:rsid w:val="0073500C"/>
    <w:rsid w:val="00735184"/>
    <w:rsid w:val="00737679"/>
    <w:rsid w:val="00741D3F"/>
    <w:rsid w:val="00743537"/>
    <w:rsid w:val="007476ED"/>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4EEE"/>
    <w:rsid w:val="007C6DD9"/>
    <w:rsid w:val="007E477A"/>
    <w:rsid w:val="00804721"/>
    <w:rsid w:val="008105F1"/>
    <w:rsid w:val="0081330C"/>
    <w:rsid w:val="00813A13"/>
    <w:rsid w:val="00815288"/>
    <w:rsid w:val="00816551"/>
    <w:rsid w:val="008273B9"/>
    <w:rsid w:val="00827EC9"/>
    <w:rsid w:val="00831F68"/>
    <w:rsid w:val="00833454"/>
    <w:rsid w:val="00856119"/>
    <w:rsid w:val="00861ECF"/>
    <w:rsid w:val="00862B73"/>
    <w:rsid w:val="00873966"/>
    <w:rsid w:val="00875944"/>
    <w:rsid w:val="00895F84"/>
    <w:rsid w:val="008A11D6"/>
    <w:rsid w:val="008B1463"/>
    <w:rsid w:val="008B2FB0"/>
    <w:rsid w:val="008B6043"/>
    <w:rsid w:val="008D3161"/>
    <w:rsid w:val="008D6861"/>
    <w:rsid w:val="008E39E2"/>
    <w:rsid w:val="008E3EE1"/>
    <w:rsid w:val="008E528C"/>
    <w:rsid w:val="008F2A5A"/>
    <w:rsid w:val="008F4BE4"/>
    <w:rsid w:val="00900716"/>
    <w:rsid w:val="00904994"/>
    <w:rsid w:val="00905764"/>
    <w:rsid w:val="00911796"/>
    <w:rsid w:val="00912D4F"/>
    <w:rsid w:val="00917458"/>
    <w:rsid w:val="00926900"/>
    <w:rsid w:val="009415C3"/>
    <w:rsid w:val="00947006"/>
    <w:rsid w:val="00970C8F"/>
    <w:rsid w:val="0097727F"/>
    <w:rsid w:val="00980688"/>
    <w:rsid w:val="0098334B"/>
    <w:rsid w:val="00992900"/>
    <w:rsid w:val="00995992"/>
    <w:rsid w:val="00997222"/>
    <w:rsid w:val="009977D8"/>
    <w:rsid w:val="009A5C32"/>
    <w:rsid w:val="009B4739"/>
    <w:rsid w:val="009C1B09"/>
    <w:rsid w:val="009C73EB"/>
    <w:rsid w:val="009E736F"/>
    <w:rsid w:val="00A032B6"/>
    <w:rsid w:val="00A05DC6"/>
    <w:rsid w:val="00A13A68"/>
    <w:rsid w:val="00A22B82"/>
    <w:rsid w:val="00A24316"/>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4C95"/>
    <w:rsid w:val="00AE51C6"/>
    <w:rsid w:val="00AF1989"/>
    <w:rsid w:val="00AF591D"/>
    <w:rsid w:val="00B0074F"/>
    <w:rsid w:val="00B14971"/>
    <w:rsid w:val="00B24CBA"/>
    <w:rsid w:val="00B368B6"/>
    <w:rsid w:val="00B40322"/>
    <w:rsid w:val="00B558B7"/>
    <w:rsid w:val="00B650E0"/>
    <w:rsid w:val="00B758CC"/>
    <w:rsid w:val="00B86774"/>
    <w:rsid w:val="00B96F15"/>
    <w:rsid w:val="00BC026F"/>
    <w:rsid w:val="00BD1FF5"/>
    <w:rsid w:val="00BE7BA6"/>
    <w:rsid w:val="00C157C4"/>
    <w:rsid w:val="00C33A54"/>
    <w:rsid w:val="00C3734A"/>
    <w:rsid w:val="00C43442"/>
    <w:rsid w:val="00C4466F"/>
    <w:rsid w:val="00C45BAF"/>
    <w:rsid w:val="00C60B6F"/>
    <w:rsid w:val="00C70C75"/>
    <w:rsid w:val="00C77370"/>
    <w:rsid w:val="00C85B3B"/>
    <w:rsid w:val="00C8689F"/>
    <w:rsid w:val="00CA00B0"/>
    <w:rsid w:val="00CA1791"/>
    <w:rsid w:val="00CA186D"/>
    <w:rsid w:val="00CB35DF"/>
    <w:rsid w:val="00CB75CD"/>
    <w:rsid w:val="00CC1D18"/>
    <w:rsid w:val="00CD0B51"/>
    <w:rsid w:val="00CD29D7"/>
    <w:rsid w:val="00CD7604"/>
    <w:rsid w:val="00CF0F1A"/>
    <w:rsid w:val="00CF6854"/>
    <w:rsid w:val="00D076AB"/>
    <w:rsid w:val="00D30E82"/>
    <w:rsid w:val="00D3592B"/>
    <w:rsid w:val="00D444A2"/>
    <w:rsid w:val="00D54A1E"/>
    <w:rsid w:val="00D668F4"/>
    <w:rsid w:val="00D806E8"/>
    <w:rsid w:val="00D813D9"/>
    <w:rsid w:val="00D92379"/>
    <w:rsid w:val="00D96E34"/>
    <w:rsid w:val="00D974C2"/>
    <w:rsid w:val="00D97DC4"/>
    <w:rsid w:val="00DA4BE7"/>
    <w:rsid w:val="00DA4F00"/>
    <w:rsid w:val="00DC0418"/>
    <w:rsid w:val="00DC1560"/>
    <w:rsid w:val="00DC35B8"/>
    <w:rsid w:val="00DC4651"/>
    <w:rsid w:val="00DD55BA"/>
    <w:rsid w:val="00DD79B9"/>
    <w:rsid w:val="00DE0848"/>
    <w:rsid w:val="00DE5F7C"/>
    <w:rsid w:val="00DE63A6"/>
    <w:rsid w:val="00E044DC"/>
    <w:rsid w:val="00E04D74"/>
    <w:rsid w:val="00E06248"/>
    <w:rsid w:val="00E24766"/>
    <w:rsid w:val="00E265BC"/>
    <w:rsid w:val="00E30446"/>
    <w:rsid w:val="00E30EB2"/>
    <w:rsid w:val="00E325E9"/>
    <w:rsid w:val="00E37FF1"/>
    <w:rsid w:val="00E539BE"/>
    <w:rsid w:val="00E60066"/>
    <w:rsid w:val="00E6678D"/>
    <w:rsid w:val="00E67E5E"/>
    <w:rsid w:val="00E70BE0"/>
    <w:rsid w:val="00E77BBB"/>
    <w:rsid w:val="00E805B7"/>
    <w:rsid w:val="00E81AC1"/>
    <w:rsid w:val="00E83978"/>
    <w:rsid w:val="00E90DB1"/>
    <w:rsid w:val="00E92C98"/>
    <w:rsid w:val="00E937BC"/>
    <w:rsid w:val="00E975E9"/>
    <w:rsid w:val="00EA7563"/>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1177"/>
    <w:rsid w:val="00F72C4D"/>
    <w:rsid w:val="00F733B0"/>
    <w:rsid w:val="00F73A7E"/>
    <w:rsid w:val="00F84115"/>
    <w:rsid w:val="00F855C0"/>
    <w:rsid w:val="00F91F64"/>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21418885">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451</Words>
  <Characters>3094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17</cp:revision>
  <cp:lastPrinted>2020-09-10T11:36:00Z</cp:lastPrinted>
  <dcterms:created xsi:type="dcterms:W3CDTF">2020-05-13T06:16:00Z</dcterms:created>
  <dcterms:modified xsi:type="dcterms:W3CDTF">2020-09-10T11:36:00Z</dcterms:modified>
</cp:coreProperties>
</file>