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F253A2" w:rsidRPr="001823B7" w:rsidTr="00991CBB">
        <w:trPr>
          <w:trHeight w:val="259"/>
        </w:trPr>
        <w:tc>
          <w:tcPr>
            <w:tcW w:w="3969" w:type="dxa"/>
          </w:tcPr>
          <w:p w:rsidR="00F253A2" w:rsidRPr="001823B7" w:rsidRDefault="00F253A2" w:rsidP="008F64F3">
            <w:pPr>
              <w:rPr>
                <w:rFonts w:eastAsia="Calibri"/>
              </w:rPr>
            </w:pPr>
            <w:r>
              <w:rPr>
                <w:rFonts w:eastAsia="Calibri"/>
              </w:rPr>
              <w:t xml:space="preserve">исх. № </w:t>
            </w:r>
            <w:r w:rsidRPr="001823B7">
              <w:rPr>
                <w:rFonts w:eastAsia="Calibri"/>
              </w:rPr>
              <w:t>___</w:t>
            </w:r>
            <w:r>
              <w:rPr>
                <w:rFonts w:eastAsia="Calibri"/>
              </w:rPr>
              <w:t>_____</w:t>
            </w:r>
            <w:r w:rsidRPr="001823B7">
              <w:rPr>
                <w:rFonts w:eastAsia="Calibri"/>
              </w:rPr>
              <w:t>______________</w:t>
            </w:r>
          </w:p>
        </w:tc>
      </w:tr>
      <w:tr w:rsidR="00F253A2" w:rsidRPr="001823B7" w:rsidTr="00991CBB">
        <w:tc>
          <w:tcPr>
            <w:tcW w:w="3969" w:type="dxa"/>
          </w:tcPr>
          <w:p w:rsidR="00F253A2" w:rsidRPr="002D2926" w:rsidRDefault="00F253A2" w:rsidP="00991CBB">
            <w:pPr>
              <w:rPr>
                <w:rFonts w:eastAsia="Calibri"/>
                <w:bCs/>
                <w:sz w:val="4"/>
                <w:szCs w:val="4"/>
              </w:rPr>
            </w:pPr>
          </w:p>
        </w:tc>
      </w:tr>
      <w:tr w:rsidR="00F253A2" w:rsidRPr="001823B7" w:rsidTr="00991CBB">
        <w:tc>
          <w:tcPr>
            <w:tcW w:w="3969" w:type="dxa"/>
          </w:tcPr>
          <w:p w:rsidR="00F253A2" w:rsidRPr="001823B7" w:rsidRDefault="00F253A2" w:rsidP="00991CBB">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533BE1" w:rsidRDefault="00554B3A" w:rsidP="007F6115">
      <w:pPr>
        <w:tabs>
          <w:tab w:val="left" w:pos="750"/>
        </w:tabs>
        <w:rPr>
          <w:vanish/>
          <w:lang w:val="en-US"/>
        </w:rPr>
      </w:pPr>
      <w:r>
        <w:rPr>
          <w:noProof/>
        </w:rPr>
        <w:drawing>
          <wp:anchor distT="0" distB="0" distL="114300" distR="114300" simplePos="0" relativeHeight="251658752" behindDoc="1" locked="0" layoutInCell="1" allowOverlap="1">
            <wp:simplePos x="0" y="0"/>
            <wp:positionH relativeFrom="column">
              <wp:posOffset>61595</wp:posOffset>
            </wp:positionH>
            <wp:positionV relativeFrom="paragraph">
              <wp:posOffset>-147320</wp:posOffset>
            </wp:positionV>
            <wp:extent cx="702310" cy="757555"/>
            <wp:effectExtent l="19050" t="0" r="2540" b="0"/>
            <wp:wrapNone/>
            <wp:docPr id="10" name="Рисунок 10"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МР_чб 3"/>
                    <pic:cNvPicPr>
                      <a:picLocks noChangeAspect="1" noChangeArrowheads="1"/>
                    </pic:cNvPicPr>
                  </pic:nvPicPr>
                  <pic:blipFill>
                    <a:blip r:embed="rId8"/>
                    <a:srcRect/>
                    <a:stretch>
                      <a:fillRect/>
                    </a:stretch>
                  </pic:blipFill>
                  <pic:spPr bwMode="auto">
                    <a:xfrm>
                      <a:off x="0" y="0"/>
                      <a:ext cx="702310" cy="757555"/>
                    </a:xfrm>
                    <a:prstGeom prst="rect">
                      <a:avLst/>
                    </a:prstGeom>
                    <a:noFill/>
                    <a:ln w="9525">
                      <a:noFill/>
                      <a:miter lim="800000"/>
                      <a:headEnd/>
                      <a:tailEnd/>
                    </a:ln>
                  </pic:spPr>
                </pic:pic>
              </a:graphicData>
            </a:graphic>
          </wp:anchor>
        </w:drawing>
      </w:r>
      <w:r w:rsidR="007F6115">
        <w:rPr>
          <w:lang w:val="en-US"/>
        </w:rPr>
        <w:tab/>
        <w:t xml:space="preserve">                        </w:t>
      </w: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253A2" w:rsidRDefault="00991CBB" w:rsidP="007F6115">
      <w:pPr>
        <w:tabs>
          <w:tab w:val="left" w:pos="720"/>
          <w:tab w:val="left" w:pos="1797"/>
        </w:tabs>
        <w:rPr>
          <w:rFonts w:eastAsia="Calibri"/>
          <w:color w:val="000000"/>
          <w:sz w:val="20"/>
          <w:szCs w:val="20"/>
          <w:lang w:val="en-US"/>
        </w:rPr>
      </w:pPr>
      <w:r>
        <w:rPr>
          <w:rFonts w:eastAsia="Calibri"/>
          <w:color w:val="000000"/>
          <w:sz w:val="20"/>
          <w:szCs w:val="20"/>
          <w:lang w:val="en-US"/>
        </w:rPr>
        <w:tab/>
      </w:r>
      <w:r w:rsidR="007F6115">
        <w:rPr>
          <w:rFonts w:eastAsia="Calibri"/>
          <w:color w:val="000000"/>
          <w:sz w:val="20"/>
          <w:szCs w:val="20"/>
          <w:lang w:val="en-US"/>
        </w:rPr>
        <w:tab/>
      </w:r>
    </w:p>
    <w:p w:rsidR="00533BE1" w:rsidRPr="00533BE1" w:rsidRDefault="00533BE1" w:rsidP="00533BE1">
      <w:pPr>
        <w:rPr>
          <w:b/>
          <w:color w:val="5F5F5F"/>
          <w:sz w:val="18"/>
          <w:szCs w:val="18"/>
          <w:lang w:val="en-US"/>
        </w:rPr>
      </w:pPr>
    </w:p>
    <w:p w:rsidR="007F6115" w:rsidRPr="00991CBB" w:rsidRDefault="007F6115" w:rsidP="007F6115">
      <w:pPr>
        <w:jc w:val="center"/>
        <w:rPr>
          <w:b/>
          <w:sz w:val="20"/>
          <w:szCs w:val="20"/>
          <w:lang w:val="en-US"/>
        </w:rPr>
      </w:pPr>
    </w:p>
    <w:p w:rsidR="00F253A2" w:rsidRPr="00CA1791" w:rsidRDefault="007F6115" w:rsidP="007F6115">
      <w:pPr>
        <w:tabs>
          <w:tab w:val="left" w:pos="465"/>
          <w:tab w:val="left" w:pos="675"/>
          <w:tab w:val="center" w:pos="5074"/>
        </w:tabs>
        <w:rPr>
          <w:b/>
          <w:color w:val="5F5F5F"/>
          <w:sz w:val="16"/>
          <w:szCs w:val="16"/>
        </w:rPr>
      </w:pPr>
      <w:r>
        <w:rPr>
          <w:b/>
          <w:color w:val="5F5F5F"/>
          <w:sz w:val="16"/>
          <w:szCs w:val="16"/>
        </w:rPr>
        <w:tab/>
      </w:r>
      <w:r>
        <w:rPr>
          <w:b/>
          <w:color w:val="5F5F5F"/>
          <w:sz w:val="16"/>
          <w:szCs w:val="16"/>
        </w:rPr>
        <w:tab/>
      </w:r>
      <w:r>
        <w:rPr>
          <w:b/>
          <w:color w:val="5F5F5F"/>
          <w:sz w:val="16"/>
          <w:szCs w:val="16"/>
        </w:rPr>
        <w:tab/>
      </w:r>
      <w:r w:rsidR="00CA1791" w:rsidRPr="00CA1791">
        <w:rPr>
          <w:b/>
          <w:color w:val="5F5F5F"/>
          <w:sz w:val="16"/>
          <w:szCs w:val="16"/>
        </w:rPr>
        <w:t xml:space="preserve"> </w:t>
      </w:r>
    </w:p>
    <w:p w:rsidR="00991CBB" w:rsidRDefault="00991CBB" w:rsidP="004F7B6D">
      <w:pPr>
        <w:jc w:val="center"/>
        <w:rPr>
          <w:b/>
          <w:sz w:val="28"/>
          <w:szCs w:val="28"/>
          <w:lang w:val="en-US"/>
        </w:rPr>
      </w:pP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8F540A"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6704" o:connectortype="straight" strokeweight="2pt"/>
        </w:pict>
      </w:r>
      <w:r>
        <w:rPr>
          <w:b/>
          <w:noProof/>
          <w:sz w:val="28"/>
          <w:szCs w:val="28"/>
          <w:u w:val="single"/>
        </w:rPr>
        <w:pict>
          <v:shape id="_x0000_s1032" type="#_x0000_t32" style="position:absolute;left:0;text-align:left;margin-left:11.55pt;margin-top:4.5pt;width:480.45pt;height:0;z-index:251657728" o:connectortype="straight" strokeweight=".5pt"/>
        </w:pict>
      </w:r>
    </w:p>
    <w:p w:rsidR="00A032B6" w:rsidRDefault="00A032B6" w:rsidP="00A032B6">
      <w:pPr>
        <w:ind w:left="-181"/>
        <w:jc w:val="center"/>
        <w:rPr>
          <w:b/>
          <w:sz w:val="16"/>
          <w:szCs w:val="16"/>
          <w:u w:val="single"/>
        </w:rPr>
      </w:pPr>
    </w:p>
    <w:p w:rsidR="00A33535" w:rsidRDefault="00A33535" w:rsidP="001823B7">
      <w:pPr>
        <w:ind w:left="-181"/>
        <w:jc w:val="center"/>
        <w:rPr>
          <w:b/>
        </w:rPr>
      </w:pPr>
    </w:p>
    <w:p w:rsidR="001823B7" w:rsidRPr="00E90DB1" w:rsidRDefault="00E90DB1" w:rsidP="001823B7">
      <w:pPr>
        <w:ind w:left="-181"/>
        <w:jc w:val="center"/>
        <w:rPr>
          <w:b/>
        </w:rPr>
      </w:pPr>
      <w:r>
        <w:rPr>
          <w:b/>
        </w:rPr>
        <w:t>О П Р Е Д Е Л Е Н И Е</w:t>
      </w:r>
    </w:p>
    <w:p w:rsidR="006A5E49" w:rsidRPr="001823B7" w:rsidRDefault="006A5E49" w:rsidP="00A032B6">
      <w:pPr>
        <w:ind w:left="-181"/>
        <w:jc w:val="center"/>
        <w:rPr>
          <w:b/>
        </w:rPr>
      </w:pPr>
      <w:r>
        <w:rPr>
          <w:b/>
        </w:rPr>
        <w:t>об отложении рассмотрения дела</w:t>
      </w:r>
    </w:p>
    <w:p w:rsidR="00E37C05" w:rsidRPr="006A5E49" w:rsidRDefault="00E37C05" w:rsidP="00E37C05">
      <w:pPr>
        <w:ind w:left="-181"/>
        <w:jc w:val="center"/>
        <w:rPr>
          <w:b/>
          <w:sz w:val="16"/>
          <w:szCs w:val="16"/>
        </w:rPr>
      </w:pPr>
    </w:p>
    <w:p w:rsidR="00E90DB1" w:rsidRDefault="00E90DB1" w:rsidP="00A032B6">
      <w:pPr>
        <w:ind w:left="-181"/>
        <w:jc w:val="center"/>
        <w:rPr>
          <w:b/>
          <w:sz w:val="16"/>
          <w:szCs w:val="16"/>
        </w:rPr>
      </w:pPr>
    </w:p>
    <w:p w:rsidR="00E90DB1" w:rsidRPr="0051667D" w:rsidRDefault="00E90DB1" w:rsidP="00A032B6">
      <w:pPr>
        <w:ind w:left="-181"/>
        <w:jc w:val="center"/>
        <w:rPr>
          <w:b/>
          <w:sz w:val="16"/>
          <w:szCs w:val="16"/>
        </w:rPr>
      </w:pPr>
    </w:p>
    <w:p w:rsidR="00717526" w:rsidRPr="0051667D" w:rsidRDefault="00717526" w:rsidP="0066051F">
      <w:pPr>
        <w:tabs>
          <w:tab w:val="left" w:pos="709"/>
        </w:tabs>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1823B7" w:rsidTr="00435D1A">
        <w:trPr>
          <w:trHeight w:val="259"/>
        </w:trPr>
        <w:tc>
          <w:tcPr>
            <w:tcW w:w="4952" w:type="dxa"/>
            <w:gridSpan w:val="7"/>
          </w:tcPr>
          <w:p w:rsidR="00435D1A" w:rsidRPr="0043022E" w:rsidRDefault="00435D1A" w:rsidP="009C5755">
            <w:pPr>
              <w:rPr>
                <w:rFonts w:eastAsia="Calibri"/>
                <w:bCs/>
                <w:u w:val="single"/>
              </w:rPr>
            </w:pPr>
            <w:r w:rsidRPr="0043022E">
              <w:rPr>
                <w:rFonts w:eastAsia="Calibri"/>
                <w:u w:val="single"/>
              </w:rPr>
              <w:t>«</w:t>
            </w:r>
            <w:r w:rsidR="009C5755">
              <w:rPr>
                <w:rFonts w:eastAsia="Calibri"/>
                <w:u w:val="single"/>
              </w:rPr>
              <w:t>29</w:t>
            </w:r>
            <w:r w:rsidRPr="0043022E">
              <w:rPr>
                <w:rFonts w:eastAsia="Calibri"/>
                <w:u w:val="single"/>
              </w:rPr>
              <w:t>»</w:t>
            </w:r>
            <w:r w:rsidR="00485A7C" w:rsidRPr="0043022E">
              <w:rPr>
                <w:rFonts w:eastAsia="Calibri"/>
                <w:u w:val="single"/>
                <w:lang w:val="en-US"/>
              </w:rPr>
              <w:t xml:space="preserve"> </w:t>
            </w:r>
            <w:r w:rsidR="00554B3A" w:rsidRPr="0043022E">
              <w:rPr>
                <w:rFonts w:eastAsia="Calibri"/>
                <w:u w:val="single"/>
              </w:rPr>
              <w:t xml:space="preserve">  </w:t>
            </w:r>
            <w:r w:rsidR="00D42FAE">
              <w:rPr>
                <w:rFonts w:eastAsia="Calibri"/>
                <w:u w:val="single"/>
              </w:rPr>
              <w:t>сентября</w:t>
            </w:r>
            <w:r w:rsidR="00554B3A" w:rsidRPr="0043022E">
              <w:rPr>
                <w:rFonts w:eastAsia="Calibri"/>
                <w:u w:val="single"/>
              </w:rPr>
              <w:t xml:space="preserve"> </w:t>
            </w:r>
            <w:r w:rsidRPr="0043022E">
              <w:rPr>
                <w:rFonts w:eastAsia="Calibri"/>
                <w:bCs/>
                <w:u w:val="single"/>
              </w:rPr>
              <w:t>20</w:t>
            </w:r>
            <w:r w:rsidR="00554B3A" w:rsidRPr="0043022E">
              <w:rPr>
                <w:rFonts w:eastAsia="Calibri"/>
                <w:bCs/>
                <w:u w:val="single"/>
              </w:rPr>
              <w:t>20</w:t>
            </w:r>
            <w:r w:rsidR="00485A7C" w:rsidRPr="0043022E">
              <w:rPr>
                <w:rFonts w:eastAsia="Calibri"/>
                <w:bCs/>
                <w:u w:val="single"/>
              </w:rPr>
              <w:t xml:space="preserve"> </w:t>
            </w:r>
            <w:r w:rsidRPr="0043022E">
              <w:rPr>
                <w:rFonts w:eastAsia="Calibri"/>
                <w:bCs/>
                <w:u w:val="single"/>
              </w:rPr>
              <w:t>г</w:t>
            </w:r>
            <w:r w:rsidR="000B5210" w:rsidRPr="0043022E">
              <w:rPr>
                <w:rFonts w:eastAsia="Calibri"/>
                <w:bCs/>
                <w:u w:val="single"/>
              </w:rPr>
              <w:t>ода</w:t>
            </w:r>
          </w:p>
        </w:tc>
        <w:tc>
          <w:tcPr>
            <w:tcW w:w="4971" w:type="dxa"/>
            <w:gridSpan w:val="3"/>
          </w:tcPr>
          <w:p w:rsidR="00435D1A" w:rsidRPr="00485A7C" w:rsidRDefault="00435D1A" w:rsidP="00B84102">
            <w:pPr>
              <w:rPr>
                <w:rFonts w:eastAsia="Calibri"/>
                <w:b/>
                <w:bCs/>
                <w:u w:val="single"/>
              </w:rPr>
            </w:pPr>
            <w:r w:rsidRPr="00485A7C">
              <w:rPr>
                <w:rFonts w:eastAsia="Calibri"/>
                <w:bCs/>
              </w:rPr>
              <w:t xml:space="preserve">         </w:t>
            </w:r>
            <w:r w:rsidR="00485A7C">
              <w:rPr>
                <w:rFonts w:eastAsia="Calibri"/>
                <w:bCs/>
              </w:rPr>
              <w:t xml:space="preserve">             </w:t>
            </w:r>
            <w:r w:rsidRPr="00485A7C">
              <w:rPr>
                <w:rFonts w:eastAsia="Calibri"/>
                <w:bCs/>
              </w:rPr>
              <w:t xml:space="preserve">                    </w:t>
            </w:r>
            <w:r w:rsidRPr="001B30A8">
              <w:rPr>
                <w:rFonts w:eastAsia="Calibri"/>
                <w:bCs/>
                <w:u w:val="single"/>
              </w:rPr>
              <w:t xml:space="preserve">Дело </w:t>
            </w:r>
            <w:r w:rsidRPr="001B30A8">
              <w:rPr>
                <w:rFonts w:eastAsia="Calibri"/>
                <w:u w:val="single"/>
              </w:rPr>
              <w:t xml:space="preserve">№ </w:t>
            </w:r>
            <w:r w:rsidR="00D42FAE">
              <w:rPr>
                <w:rFonts w:eastAsia="Calibri"/>
                <w:u w:val="single"/>
              </w:rPr>
              <w:t>5</w:t>
            </w:r>
            <w:r w:rsidR="00B84102">
              <w:rPr>
                <w:rFonts w:eastAsia="Calibri"/>
                <w:u w:val="single"/>
              </w:rPr>
              <w:t>69</w:t>
            </w:r>
            <w:r w:rsidR="000B5210">
              <w:rPr>
                <w:rFonts w:eastAsia="Calibri"/>
                <w:u w:val="single"/>
              </w:rPr>
              <w:t>/</w:t>
            </w:r>
            <w:r w:rsidR="00554B3A">
              <w:rPr>
                <w:rFonts w:eastAsia="Calibri"/>
                <w:u w:val="single"/>
              </w:rPr>
              <w:t>20</w:t>
            </w:r>
            <w:r w:rsidR="00485A7C">
              <w:rPr>
                <w:rFonts w:eastAsia="Calibri"/>
                <w:u w:val="single"/>
              </w:rPr>
              <w:t>-</w:t>
            </w:r>
            <w:r w:rsidR="00554B3A">
              <w:rPr>
                <w:rFonts w:eastAsia="Calibri"/>
                <w:u w:val="single"/>
              </w:rPr>
              <w:t>02</w:t>
            </w:r>
          </w:p>
        </w:tc>
      </w:tr>
      <w:tr w:rsidR="00717526" w:rsidRPr="001823B7" w:rsidTr="00435D1A">
        <w:tc>
          <w:tcPr>
            <w:tcW w:w="1199" w:type="dxa"/>
          </w:tcPr>
          <w:p w:rsidR="00F64381" w:rsidRPr="00485A7C" w:rsidRDefault="00F64381" w:rsidP="00BF54BA">
            <w:pPr>
              <w:rPr>
                <w:rFonts w:eastAsia="Calibri"/>
                <w:b/>
                <w:bCs/>
              </w:rPr>
            </w:pPr>
          </w:p>
        </w:tc>
        <w:tc>
          <w:tcPr>
            <w:tcW w:w="1418" w:type="dxa"/>
            <w:gridSpan w:val="4"/>
          </w:tcPr>
          <w:p w:rsidR="00F64381" w:rsidRPr="00485A7C" w:rsidRDefault="00F64381" w:rsidP="00F64381">
            <w:pPr>
              <w:rPr>
                <w:rFonts w:eastAsia="Calibri"/>
                <w:b/>
                <w:bCs/>
              </w:rPr>
            </w:pPr>
          </w:p>
        </w:tc>
        <w:tc>
          <w:tcPr>
            <w:tcW w:w="838" w:type="dxa"/>
          </w:tcPr>
          <w:p w:rsidR="00F64381" w:rsidRPr="00485A7C" w:rsidRDefault="00F64381" w:rsidP="00F64381">
            <w:pPr>
              <w:rPr>
                <w:rFonts w:eastAsia="Calibri"/>
                <w:b/>
                <w:bCs/>
              </w:rPr>
            </w:pPr>
          </w:p>
        </w:tc>
        <w:tc>
          <w:tcPr>
            <w:tcW w:w="3577" w:type="dxa"/>
            <w:gridSpan w:val="2"/>
          </w:tcPr>
          <w:p w:rsidR="00F64381" w:rsidRPr="00485A7C" w:rsidRDefault="00F64381" w:rsidP="006E570D">
            <w:pPr>
              <w:tabs>
                <w:tab w:val="center" w:pos="1805"/>
              </w:tabs>
              <w:jc w:val="center"/>
              <w:rPr>
                <w:rFonts w:eastAsia="Calibri"/>
                <w:bCs/>
              </w:rPr>
            </w:pPr>
          </w:p>
        </w:tc>
        <w:tc>
          <w:tcPr>
            <w:tcW w:w="2891" w:type="dxa"/>
            <w:gridSpan w:val="2"/>
          </w:tcPr>
          <w:p w:rsidR="00F64381" w:rsidRPr="00485A7C" w:rsidRDefault="00F64381" w:rsidP="00F64381">
            <w:pPr>
              <w:rPr>
                <w:rFonts w:eastAsia="Calibri"/>
                <w:b/>
                <w:bCs/>
              </w:rPr>
            </w:pPr>
          </w:p>
        </w:tc>
      </w:tr>
      <w:tr w:rsidR="0051667D" w:rsidRPr="00BF54BA" w:rsidTr="00435D1A">
        <w:tc>
          <w:tcPr>
            <w:tcW w:w="1985" w:type="dxa"/>
            <w:gridSpan w:val="2"/>
          </w:tcPr>
          <w:p w:rsidR="008273B9" w:rsidRPr="00BF54BA" w:rsidRDefault="00BF54BA" w:rsidP="00F64381">
            <w:pPr>
              <w:rPr>
                <w:rFonts w:eastAsia="Calibri"/>
                <w:bCs/>
              </w:rPr>
            </w:pPr>
            <w:r w:rsidRPr="00BF54BA">
              <w:rPr>
                <w:rFonts w:eastAsia="Calibri"/>
                <w:bCs/>
              </w:rPr>
              <w:t>г.Тирасполь</w:t>
            </w:r>
          </w:p>
        </w:tc>
        <w:tc>
          <w:tcPr>
            <w:tcW w:w="283" w:type="dxa"/>
          </w:tcPr>
          <w:p w:rsidR="008273B9" w:rsidRPr="00BF54BA" w:rsidRDefault="008273B9" w:rsidP="00F64381">
            <w:pPr>
              <w:rPr>
                <w:rFonts w:eastAsia="Calibri"/>
                <w:bCs/>
              </w:rPr>
            </w:pPr>
          </w:p>
        </w:tc>
        <w:tc>
          <w:tcPr>
            <w:tcW w:w="284" w:type="dxa"/>
          </w:tcPr>
          <w:p w:rsidR="008273B9" w:rsidRPr="00BF54BA" w:rsidRDefault="008273B9" w:rsidP="006E570D">
            <w:pPr>
              <w:jc w:val="center"/>
              <w:rPr>
                <w:rFonts w:eastAsia="Calibri"/>
                <w:bCs/>
              </w:rPr>
            </w:pPr>
          </w:p>
        </w:tc>
        <w:tc>
          <w:tcPr>
            <w:tcW w:w="4587" w:type="dxa"/>
            <w:gridSpan w:val="5"/>
          </w:tcPr>
          <w:p w:rsidR="006F51D7" w:rsidRPr="00BF54BA" w:rsidRDefault="006F51D7" w:rsidP="006E570D">
            <w:pPr>
              <w:jc w:val="center"/>
              <w:rPr>
                <w:rFonts w:eastAsia="Calibri"/>
                <w:bCs/>
              </w:rPr>
            </w:pPr>
          </w:p>
        </w:tc>
        <w:tc>
          <w:tcPr>
            <w:tcW w:w="2784" w:type="dxa"/>
          </w:tcPr>
          <w:p w:rsidR="008273B9" w:rsidRPr="00BF54BA" w:rsidRDefault="008273B9" w:rsidP="00F64381">
            <w:pPr>
              <w:rPr>
                <w:rFonts w:eastAsia="Calibri"/>
                <w:bCs/>
              </w:rPr>
            </w:pPr>
          </w:p>
        </w:tc>
      </w:tr>
      <w:tr w:rsidR="00717526" w:rsidRPr="001823B7" w:rsidTr="00435D1A">
        <w:tc>
          <w:tcPr>
            <w:tcW w:w="1199" w:type="dxa"/>
          </w:tcPr>
          <w:p w:rsidR="00485A7C" w:rsidRPr="00485A7C" w:rsidRDefault="00485A7C" w:rsidP="006E570D">
            <w:pPr>
              <w:rPr>
                <w:rFonts w:eastAsia="Calibri"/>
                <w:b/>
                <w:bCs/>
              </w:rPr>
            </w:pPr>
          </w:p>
        </w:tc>
        <w:tc>
          <w:tcPr>
            <w:tcW w:w="1418" w:type="dxa"/>
            <w:gridSpan w:val="4"/>
          </w:tcPr>
          <w:p w:rsidR="008273B9" w:rsidRPr="00485A7C" w:rsidRDefault="008273B9" w:rsidP="006E570D">
            <w:pPr>
              <w:rPr>
                <w:rFonts w:eastAsia="Calibri"/>
                <w:b/>
                <w:bCs/>
              </w:rPr>
            </w:pPr>
          </w:p>
        </w:tc>
        <w:tc>
          <w:tcPr>
            <w:tcW w:w="838" w:type="dxa"/>
          </w:tcPr>
          <w:p w:rsidR="008273B9" w:rsidRPr="00485A7C" w:rsidRDefault="008273B9" w:rsidP="006E570D">
            <w:pPr>
              <w:rPr>
                <w:rFonts w:eastAsia="Calibri"/>
                <w:b/>
                <w:bCs/>
              </w:rPr>
            </w:pPr>
          </w:p>
        </w:tc>
        <w:tc>
          <w:tcPr>
            <w:tcW w:w="3577" w:type="dxa"/>
            <w:gridSpan w:val="2"/>
          </w:tcPr>
          <w:p w:rsidR="008273B9" w:rsidRPr="00485A7C" w:rsidRDefault="008273B9" w:rsidP="006E570D">
            <w:pPr>
              <w:rPr>
                <w:rFonts w:eastAsia="Calibri"/>
                <w:b/>
                <w:bCs/>
              </w:rPr>
            </w:pPr>
          </w:p>
        </w:tc>
        <w:tc>
          <w:tcPr>
            <w:tcW w:w="2891" w:type="dxa"/>
            <w:gridSpan w:val="2"/>
          </w:tcPr>
          <w:p w:rsidR="008273B9" w:rsidRPr="00485A7C" w:rsidRDefault="008273B9" w:rsidP="006E570D">
            <w:pPr>
              <w:rPr>
                <w:rFonts w:eastAsia="Calibri"/>
                <w:b/>
                <w:bCs/>
              </w:rPr>
            </w:pPr>
          </w:p>
        </w:tc>
      </w:tr>
      <w:tr w:rsidR="0051667D" w:rsidRPr="001823B7" w:rsidTr="00435D1A">
        <w:tc>
          <w:tcPr>
            <w:tcW w:w="1199" w:type="dxa"/>
          </w:tcPr>
          <w:p w:rsidR="008273B9" w:rsidRPr="001823B7" w:rsidRDefault="008273B9" w:rsidP="000B5210">
            <w:pPr>
              <w:ind w:right="225"/>
              <w:rPr>
                <w:rFonts w:eastAsia="Calibri"/>
                <w:b/>
                <w:bCs/>
                <w:sz w:val="20"/>
                <w:szCs w:val="20"/>
              </w:rPr>
            </w:pPr>
          </w:p>
        </w:tc>
        <w:tc>
          <w:tcPr>
            <w:tcW w:w="1418" w:type="dxa"/>
            <w:gridSpan w:val="4"/>
          </w:tcPr>
          <w:p w:rsidR="008273B9" w:rsidRPr="001823B7" w:rsidRDefault="008273B9" w:rsidP="000B5210">
            <w:pPr>
              <w:ind w:right="225"/>
              <w:rPr>
                <w:rFonts w:eastAsia="Calibri"/>
                <w:b/>
                <w:bCs/>
                <w:sz w:val="20"/>
                <w:szCs w:val="20"/>
              </w:rPr>
            </w:pPr>
          </w:p>
        </w:tc>
        <w:tc>
          <w:tcPr>
            <w:tcW w:w="838" w:type="dxa"/>
          </w:tcPr>
          <w:p w:rsidR="008273B9" w:rsidRPr="001823B7" w:rsidRDefault="008273B9" w:rsidP="000B5210">
            <w:pPr>
              <w:ind w:right="225"/>
              <w:rPr>
                <w:rFonts w:eastAsia="Calibri"/>
                <w:b/>
                <w:bCs/>
                <w:sz w:val="20"/>
                <w:szCs w:val="20"/>
              </w:rPr>
            </w:pPr>
          </w:p>
        </w:tc>
        <w:tc>
          <w:tcPr>
            <w:tcW w:w="3577" w:type="dxa"/>
            <w:gridSpan w:val="2"/>
          </w:tcPr>
          <w:p w:rsidR="008273B9" w:rsidRPr="001823B7" w:rsidRDefault="008273B9" w:rsidP="000B5210">
            <w:pPr>
              <w:ind w:right="225"/>
              <w:rPr>
                <w:rFonts w:eastAsia="Calibri"/>
                <w:b/>
                <w:bCs/>
                <w:sz w:val="20"/>
                <w:szCs w:val="20"/>
              </w:rPr>
            </w:pPr>
          </w:p>
        </w:tc>
        <w:tc>
          <w:tcPr>
            <w:tcW w:w="2891" w:type="dxa"/>
            <w:gridSpan w:val="2"/>
          </w:tcPr>
          <w:p w:rsidR="008273B9" w:rsidRPr="001823B7" w:rsidRDefault="008273B9" w:rsidP="000B5210">
            <w:pPr>
              <w:ind w:right="225"/>
              <w:rPr>
                <w:rFonts w:eastAsia="Calibri"/>
                <w:b/>
                <w:bCs/>
                <w:sz w:val="20"/>
                <w:szCs w:val="20"/>
              </w:rPr>
            </w:pPr>
          </w:p>
        </w:tc>
      </w:tr>
    </w:tbl>
    <w:p w:rsidR="009C5755" w:rsidRDefault="000B5210" w:rsidP="009C5755">
      <w:pPr>
        <w:ind w:right="650" w:firstLine="709"/>
        <w:jc w:val="both"/>
        <w:rPr>
          <w:color w:val="000000" w:themeColor="text1"/>
        </w:rPr>
      </w:pPr>
      <w:r>
        <w:t xml:space="preserve">Арбитражный суд Приднестровской Молдавской Республики в составе судьи                      </w:t>
      </w:r>
      <w:r w:rsidR="00554B3A">
        <w:t>Е.В.Качуровск</w:t>
      </w:r>
      <w:r w:rsidR="009B5C25">
        <w:t>ой</w:t>
      </w:r>
      <w:r>
        <w:t xml:space="preserve">, </w:t>
      </w:r>
      <w:r w:rsidR="006A5E49">
        <w:t>рассматривая в открытом судебном заседании</w:t>
      </w:r>
      <w:r>
        <w:t xml:space="preserve"> </w:t>
      </w:r>
      <w:r w:rsidR="00846717">
        <w:t xml:space="preserve">дело по </w:t>
      </w:r>
      <w:r w:rsidR="00440CB8">
        <w:t>иску</w:t>
      </w:r>
      <w:r w:rsidR="009C5755">
        <w:t xml:space="preserve"> общества с ограниченной ответственностью «Профи Люкс» (г.Тирасполь, ул.К.Либкнехта, 121) к открытому акционерному обществу «Стройтермоизоляция» (г.Рыбница ул.С.Лазо, 2/1) о взыскании долга</w:t>
      </w:r>
      <w:r w:rsidR="009C5755">
        <w:rPr>
          <w:color w:val="000000" w:themeColor="text1"/>
        </w:rPr>
        <w:t xml:space="preserve">, </w:t>
      </w:r>
    </w:p>
    <w:p w:rsidR="00B84102" w:rsidRDefault="00B84102" w:rsidP="009C5755">
      <w:pPr>
        <w:ind w:right="650" w:firstLine="709"/>
        <w:jc w:val="both"/>
        <w:rPr>
          <w:color w:val="000000" w:themeColor="text1"/>
        </w:rPr>
      </w:pPr>
      <w:r>
        <w:rPr>
          <w:color w:val="000000" w:themeColor="text1"/>
        </w:rPr>
        <w:t>при участии в судебном заседании представителя истца Сорокиной Н.И. по доверенности от 28</w:t>
      </w:r>
      <w:r w:rsidR="00596A2B">
        <w:rPr>
          <w:color w:val="000000" w:themeColor="text1"/>
        </w:rPr>
        <w:t xml:space="preserve"> сентября </w:t>
      </w:r>
      <w:r>
        <w:rPr>
          <w:color w:val="000000" w:themeColor="text1"/>
        </w:rPr>
        <w:t>2020 г.,</w:t>
      </w:r>
    </w:p>
    <w:p w:rsidR="00B84102" w:rsidRDefault="00B84102" w:rsidP="009C5755">
      <w:pPr>
        <w:ind w:right="650" w:firstLine="709"/>
        <w:jc w:val="both"/>
      </w:pPr>
      <w:r>
        <w:rPr>
          <w:color w:val="000000" w:themeColor="text1"/>
        </w:rPr>
        <w:t>в отсутствие ответчика, уведомленного о времени и месте рассмотрения дела надлежащим образом (заказное письмо с уведомлением № 607 от 15</w:t>
      </w:r>
      <w:r w:rsidR="00596A2B">
        <w:rPr>
          <w:color w:val="000000" w:themeColor="text1"/>
        </w:rPr>
        <w:t xml:space="preserve"> сентября </w:t>
      </w:r>
      <w:r>
        <w:rPr>
          <w:color w:val="000000" w:themeColor="text1"/>
        </w:rPr>
        <w:t xml:space="preserve">2020 г.), </w:t>
      </w:r>
    </w:p>
    <w:p w:rsidR="009C5755" w:rsidRDefault="009C5755" w:rsidP="009C5755">
      <w:pPr>
        <w:ind w:right="-1" w:firstLine="709"/>
        <w:jc w:val="both"/>
      </w:pPr>
    </w:p>
    <w:p w:rsidR="009C5755" w:rsidRDefault="009C5755" w:rsidP="009C5755">
      <w:pPr>
        <w:ind w:right="-1" w:firstLine="709"/>
        <w:jc w:val="center"/>
        <w:rPr>
          <w:b/>
        </w:rPr>
      </w:pPr>
      <w:r>
        <w:rPr>
          <w:b/>
        </w:rPr>
        <w:t>У С Т А Н О В И Л:</w:t>
      </w:r>
    </w:p>
    <w:p w:rsidR="00B84102" w:rsidRDefault="00B84102" w:rsidP="00596A2B">
      <w:pPr>
        <w:ind w:right="650" w:firstLine="709"/>
        <w:jc w:val="both"/>
        <w:rPr>
          <w:color w:val="000000" w:themeColor="text1"/>
        </w:rPr>
      </w:pPr>
      <w:r>
        <w:t xml:space="preserve">ООО «Профи Люкс» обратилось в Арбитражный суд </w:t>
      </w:r>
      <w:r w:rsidR="002F7667">
        <w:t>Приднестровской Молдавской Республики</w:t>
      </w:r>
      <w:r>
        <w:t xml:space="preserve"> с иском к  ОАО «Стройтермоизоляция» о взыскании долга.</w:t>
      </w:r>
      <w:r>
        <w:rPr>
          <w:color w:val="000000" w:themeColor="text1"/>
        </w:rPr>
        <w:t xml:space="preserve"> </w:t>
      </w:r>
    </w:p>
    <w:p w:rsidR="009C5755" w:rsidRDefault="009C5755" w:rsidP="00596A2B">
      <w:pPr>
        <w:ind w:right="650" w:firstLine="709"/>
        <w:jc w:val="both"/>
      </w:pPr>
      <w:r>
        <w:t xml:space="preserve">Определением Арбитражного суда </w:t>
      </w:r>
      <w:r w:rsidR="002F7667">
        <w:t xml:space="preserve">Приднестровской Молдавской Республики </w:t>
      </w:r>
      <w:r>
        <w:t xml:space="preserve">от 08 сентября 2020 года исковое заявление оставлено без движения ввиду несоблюдения требований ст.93 АПК ПМР. </w:t>
      </w:r>
    </w:p>
    <w:p w:rsidR="00554B3A" w:rsidRDefault="00B84102" w:rsidP="00596A2B">
      <w:pPr>
        <w:ind w:right="650" w:firstLine="709"/>
        <w:jc w:val="both"/>
      </w:pPr>
      <w:r>
        <w:rPr>
          <w:color w:val="000000" w:themeColor="text1"/>
        </w:rPr>
        <w:t xml:space="preserve">После устранения обстоятельств, послуживших основанием для оставления иска без движения, определением от 15 сентября 2020 г. </w:t>
      </w:r>
      <w:r w:rsidR="000637A6">
        <w:t xml:space="preserve">исковое заявление было </w:t>
      </w:r>
      <w:r w:rsidR="00554B3A" w:rsidRPr="00DD30D9">
        <w:t xml:space="preserve">принято к производству и дело назначено к судебному разбирательству на </w:t>
      </w:r>
      <w:r>
        <w:t>29</w:t>
      </w:r>
      <w:r w:rsidR="00826510">
        <w:t xml:space="preserve"> сентября </w:t>
      </w:r>
      <w:r w:rsidR="00947C3B">
        <w:t>2020 года</w:t>
      </w:r>
      <w:r w:rsidR="00011073">
        <w:t xml:space="preserve">. </w:t>
      </w:r>
    </w:p>
    <w:p w:rsidR="00B84102" w:rsidRDefault="00791858" w:rsidP="002D1EC5">
      <w:pPr>
        <w:ind w:right="650" w:firstLine="709"/>
        <w:jc w:val="both"/>
      </w:pPr>
      <w:r w:rsidRPr="00DD30D9">
        <w:t>В состоявше</w:t>
      </w:r>
      <w:r w:rsidR="00B84102">
        <w:t>е</w:t>
      </w:r>
      <w:r w:rsidRPr="00DD30D9">
        <w:t xml:space="preserve">ся в назначенное время </w:t>
      </w:r>
      <w:r w:rsidR="00D65134" w:rsidRPr="00DD30D9">
        <w:t>судебно</w:t>
      </w:r>
      <w:r w:rsidR="00B84102">
        <w:t>е</w:t>
      </w:r>
      <w:r w:rsidR="00D65134" w:rsidRPr="00DD30D9">
        <w:t xml:space="preserve"> </w:t>
      </w:r>
      <w:r w:rsidR="00947C3B">
        <w:t>заседани</w:t>
      </w:r>
      <w:r w:rsidR="00B84102">
        <w:t>е не явился ответчик, уведомленный о времени и месте</w:t>
      </w:r>
      <w:r w:rsidR="00B84102" w:rsidRPr="00B84102">
        <w:rPr>
          <w:color w:val="000000" w:themeColor="text1"/>
        </w:rPr>
        <w:t xml:space="preserve"> </w:t>
      </w:r>
      <w:r w:rsidR="00B84102">
        <w:rPr>
          <w:color w:val="000000" w:themeColor="text1"/>
        </w:rPr>
        <w:t>рассмотрения дела надлежащим образом (заказное письмо с уведомлением № 60</w:t>
      </w:r>
      <w:r w:rsidR="00826510">
        <w:rPr>
          <w:color w:val="000000" w:themeColor="text1"/>
        </w:rPr>
        <w:t xml:space="preserve">7 от 15 </w:t>
      </w:r>
      <w:r w:rsidR="00826510">
        <w:t xml:space="preserve">сентября </w:t>
      </w:r>
      <w:r w:rsidR="00B84102">
        <w:rPr>
          <w:color w:val="000000" w:themeColor="text1"/>
        </w:rPr>
        <w:t>2020 г.).</w:t>
      </w:r>
    </w:p>
    <w:p w:rsidR="002D1EC5" w:rsidRDefault="00B84102" w:rsidP="002D1EC5">
      <w:pPr>
        <w:ind w:right="650" w:firstLine="709"/>
        <w:jc w:val="both"/>
      </w:pPr>
      <w:r>
        <w:t>П</w:t>
      </w:r>
      <w:r w:rsidR="00D42FAE">
        <w:t xml:space="preserve">осле заслушивания пояснений </w:t>
      </w:r>
      <w:r>
        <w:t>представител</w:t>
      </w:r>
      <w:r w:rsidR="002F7667">
        <w:t>я</w:t>
      </w:r>
      <w:r>
        <w:t xml:space="preserve"> истца</w:t>
      </w:r>
      <w:r w:rsidR="00D42FAE">
        <w:t>,</w:t>
      </w:r>
      <w:r w:rsidR="00E25672">
        <w:t xml:space="preserve"> </w:t>
      </w:r>
      <w:r>
        <w:t>приобщения по</w:t>
      </w:r>
      <w:r w:rsidR="002F7667">
        <w:t xml:space="preserve"> его</w:t>
      </w:r>
      <w:r>
        <w:t xml:space="preserve"> ходатайству ряда дополнительных доказательств по делу, </w:t>
      </w:r>
      <w:r w:rsidR="002F7667">
        <w:t xml:space="preserve">последним </w:t>
      </w:r>
      <w:r w:rsidR="002D1EC5">
        <w:t>заявлено ходатайство об отложении рассмотрения дела и пред</w:t>
      </w:r>
      <w:r w:rsidR="002F7667">
        <w:t>о</w:t>
      </w:r>
      <w:r w:rsidR="002D1EC5">
        <w:t xml:space="preserve">ставлении времени для </w:t>
      </w:r>
      <w:r w:rsidR="00D42FAE">
        <w:t>подготовки текста мирового соглашения</w:t>
      </w:r>
      <w:r>
        <w:t>,</w:t>
      </w:r>
      <w:r w:rsidR="00D42FAE">
        <w:t xml:space="preserve"> представ</w:t>
      </w:r>
      <w:r>
        <w:t>ления его суду для утверждения в связи с тем, что после подачи искового заявления в суд</w:t>
      </w:r>
      <w:r w:rsidR="002F7667">
        <w:t>,</w:t>
      </w:r>
      <w:r>
        <w:t xml:space="preserve"> ответчиком предпринимаются меры к погашению задолженности. </w:t>
      </w:r>
    </w:p>
    <w:p w:rsidR="00D42FAE" w:rsidRDefault="00D42FAE" w:rsidP="00D42FAE">
      <w:pPr>
        <w:ind w:right="650" w:firstLine="709"/>
        <w:jc w:val="both"/>
      </w:pPr>
      <w:r>
        <w:t>Пунктом</w:t>
      </w:r>
      <w:r w:rsidR="00B71CCE" w:rsidRPr="00B71CCE">
        <w:t xml:space="preserve"> </w:t>
      </w:r>
      <w:r>
        <w:t>3</w:t>
      </w:r>
      <w:r w:rsidR="00B71CCE" w:rsidRPr="00B71CCE">
        <w:t xml:space="preserve"> статьи 2</w:t>
      </w:r>
      <w:r>
        <w:t>9</w:t>
      </w:r>
      <w:r w:rsidR="00B71CCE" w:rsidRPr="00B71CCE">
        <w:t xml:space="preserve"> АПК ПМР </w:t>
      </w:r>
      <w:r>
        <w:t>регламентировано право с</w:t>
      </w:r>
      <w:r w:rsidRPr="00D42FAE">
        <w:t>торон окончить дело мировым соглашением</w:t>
      </w:r>
      <w:r>
        <w:t>.</w:t>
      </w:r>
      <w:r w:rsidRPr="00D42FAE">
        <w:t xml:space="preserve"> </w:t>
      </w:r>
    </w:p>
    <w:p w:rsidR="002F7667" w:rsidRDefault="002F7667" w:rsidP="00D42FAE">
      <w:pPr>
        <w:ind w:right="650" w:firstLine="709"/>
        <w:jc w:val="both"/>
      </w:pPr>
    </w:p>
    <w:p w:rsidR="006F51D7" w:rsidRDefault="006F51D7" w:rsidP="00587CFC">
      <w:pPr>
        <w:ind w:left="567" w:right="-58" w:firstLine="709"/>
        <w:jc w:val="both"/>
      </w:pPr>
      <w:r w:rsidRPr="00503476">
        <w:lastRenderedPageBreak/>
        <w:t>Учитывая закрепленные в приведенн</w:t>
      </w:r>
      <w:r>
        <w:t>ой</w:t>
      </w:r>
      <w:r w:rsidRPr="00503476">
        <w:t xml:space="preserve"> норм</w:t>
      </w:r>
      <w:r>
        <w:t>е</w:t>
      </w:r>
      <w:r w:rsidRPr="00503476">
        <w:t xml:space="preserve"> арбитражного процессуального закона </w:t>
      </w:r>
      <w:r w:rsidRPr="003715A0">
        <w:t xml:space="preserve">права </w:t>
      </w:r>
      <w:r>
        <w:t>сторон</w:t>
      </w:r>
      <w:r w:rsidRPr="003715A0">
        <w:t xml:space="preserve">, необходимость </w:t>
      </w:r>
      <w:r>
        <w:t>составления текста мирового соглашения</w:t>
      </w:r>
      <w:r w:rsidRPr="003715A0">
        <w:t>, Арбитражный суд Приднестровской Молдавской Республики, руководствуясь статьями 25,</w:t>
      </w:r>
      <w:r>
        <w:t>29,</w:t>
      </w:r>
      <w:r w:rsidRPr="003715A0">
        <w:t>107,109,128 Арбитражного процессуального кодекса</w:t>
      </w:r>
      <w:r w:rsidRPr="00503476">
        <w:t xml:space="preserve"> Приднестровской Молдавской Республики, </w:t>
      </w:r>
    </w:p>
    <w:p w:rsidR="00D42FAE" w:rsidRDefault="00D42FAE" w:rsidP="00587CFC">
      <w:pPr>
        <w:ind w:left="567" w:right="-58" w:firstLine="709"/>
        <w:jc w:val="both"/>
      </w:pPr>
    </w:p>
    <w:p w:rsidR="00606082" w:rsidRDefault="00606082" w:rsidP="00587CFC">
      <w:pPr>
        <w:ind w:left="567" w:right="-58" w:firstLine="709"/>
        <w:jc w:val="center"/>
        <w:rPr>
          <w:b/>
        </w:rPr>
      </w:pPr>
      <w:r>
        <w:rPr>
          <w:b/>
        </w:rPr>
        <w:t>О П Р Е Д Е Л И Л:</w:t>
      </w:r>
    </w:p>
    <w:p w:rsidR="00606082" w:rsidRDefault="00606082" w:rsidP="00587CFC">
      <w:pPr>
        <w:ind w:left="567" w:right="-58" w:firstLine="709"/>
        <w:jc w:val="center"/>
        <w:rPr>
          <w:b/>
        </w:rPr>
      </w:pPr>
    </w:p>
    <w:p w:rsidR="007D7226" w:rsidRDefault="007D7226" w:rsidP="00587CFC">
      <w:pPr>
        <w:ind w:left="567" w:right="-58" w:firstLine="709"/>
        <w:jc w:val="both"/>
      </w:pPr>
      <w:r>
        <w:t xml:space="preserve">Удовлетворить ходатайство представителя </w:t>
      </w:r>
      <w:r w:rsidR="00675BED">
        <w:t>истца</w:t>
      </w:r>
      <w:r w:rsidR="003C14E7">
        <w:t>.</w:t>
      </w:r>
    </w:p>
    <w:p w:rsidR="007D7226" w:rsidRPr="00781009" w:rsidRDefault="007D7226" w:rsidP="00587CFC">
      <w:pPr>
        <w:tabs>
          <w:tab w:val="left" w:pos="284"/>
        </w:tabs>
        <w:ind w:left="567" w:right="-58" w:firstLine="709"/>
        <w:jc w:val="both"/>
        <w:rPr>
          <w:color w:val="000000" w:themeColor="text1"/>
        </w:rPr>
      </w:pPr>
      <w:r w:rsidRPr="00E87E1C">
        <w:rPr>
          <w:color w:val="000000" w:themeColor="text1"/>
        </w:rPr>
        <w:t xml:space="preserve">Отложить рассмотрение дела № </w:t>
      </w:r>
      <w:r w:rsidR="006F51D7">
        <w:rPr>
          <w:color w:val="000000" w:themeColor="text1"/>
        </w:rPr>
        <w:t>5</w:t>
      </w:r>
      <w:r w:rsidR="00675BED">
        <w:rPr>
          <w:color w:val="000000" w:themeColor="text1"/>
        </w:rPr>
        <w:t>6</w:t>
      </w:r>
      <w:r w:rsidR="006F51D7">
        <w:rPr>
          <w:color w:val="000000" w:themeColor="text1"/>
        </w:rPr>
        <w:t>9</w:t>
      </w:r>
      <w:r w:rsidRPr="00E87E1C">
        <w:rPr>
          <w:color w:val="000000" w:themeColor="text1"/>
        </w:rPr>
        <w:t xml:space="preserve">/20-02  </w:t>
      </w:r>
      <w:r w:rsidRPr="00781009">
        <w:rPr>
          <w:color w:val="000000" w:themeColor="text1"/>
        </w:rPr>
        <w:t xml:space="preserve">на </w:t>
      </w:r>
      <w:r w:rsidR="00675BED">
        <w:rPr>
          <w:b/>
          <w:color w:val="000000" w:themeColor="text1"/>
        </w:rPr>
        <w:t>16 октября</w:t>
      </w:r>
      <w:r>
        <w:rPr>
          <w:b/>
          <w:color w:val="000000" w:themeColor="text1"/>
        </w:rPr>
        <w:t xml:space="preserve"> </w:t>
      </w:r>
      <w:r w:rsidRPr="00781009">
        <w:rPr>
          <w:b/>
          <w:color w:val="000000" w:themeColor="text1"/>
        </w:rPr>
        <w:t xml:space="preserve"> 2020 года</w:t>
      </w:r>
      <w:r w:rsidRPr="00781009">
        <w:rPr>
          <w:color w:val="000000" w:themeColor="text1"/>
        </w:rPr>
        <w:t xml:space="preserve"> на </w:t>
      </w:r>
      <w:r w:rsidR="006F51D7" w:rsidRPr="006F51D7">
        <w:rPr>
          <w:b/>
          <w:color w:val="000000" w:themeColor="text1"/>
        </w:rPr>
        <w:t>10</w:t>
      </w:r>
      <w:r w:rsidRPr="006F51D7">
        <w:rPr>
          <w:b/>
          <w:color w:val="000000" w:themeColor="text1"/>
        </w:rPr>
        <w:t>.</w:t>
      </w:r>
      <w:r w:rsidR="006F51D7">
        <w:rPr>
          <w:b/>
          <w:color w:val="000000" w:themeColor="text1"/>
        </w:rPr>
        <w:t>0</w:t>
      </w:r>
      <w:r>
        <w:rPr>
          <w:b/>
          <w:color w:val="000000" w:themeColor="text1"/>
        </w:rPr>
        <w:t xml:space="preserve">0 </w:t>
      </w:r>
      <w:r w:rsidRPr="00781009">
        <w:rPr>
          <w:b/>
          <w:color w:val="000000" w:themeColor="text1"/>
        </w:rPr>
        <w:t xml:space="preserve">часов </w:t>
      </w:r>
      <w:r w:rsidRPr="00781009">
        <w:rPr>
          <w:color w:val="000000" w:themeColor="text1"/>
        </w:rPr>
        <w:t xml:space="preserve"> в здании Арбитражного суда Приднестровской Молдавской Республики по адресу: г.Тирасполь, ул. Ленина, 1/2, каб. 307. </w:t>
      </w:r>
    </w:p>
    <w:p w:rsidR="00437FF4" w:rsidRDefault="00437FF4" w:rsidP="0009620A">
      <w:pPr>
        <w:ind w:left="567" w:right="-58" w:firstLine="709"/>
        <w:jc w:val="both"/>
      </w:pPr>
    </w:p>
    <w:p w:rsidR="00BF7322" w:rsidRDefault="00BF7322" w:rsidP="0009620A">
      <w:pPr>
        <w:ind w:left="567" w:right="-58" w:firstLine="709"/>
        <w:jc w:val="both"/>
      </w:pPr>
      <w:r>
        <w:t xml:space="preserve">Определение не обжалуется. </w:t>
      </w:r>
    </w:p>
    <w:p w:rsidR="00BF7322" w:rsidRDefault="00BF7322" w:rsidP="0009620A">
      <w:pPr>
        <w:ind w:left="567" w:right="-58" w:firstLine="709"/>
        <w:jc w:val="both"/>
        <w:rPr>
          <w:b/>
        </w:rPr>
      </w:pPr>
    </w:p>
    <w:p w:rsidR="00BF7322" w:rsidRDefault="00BF7322" w:rsidP="0009620A">
      <w:pPr>
        <w:ind w:left="567" w:right="-58" w:firstLine="709"/>
        <w:jc w:val="both"/>
        <w:rPr>
          <w:b/>
        </w:rPr>
      </w:pPr>
    </w:p>
    <w:p w:rsidR="00BF7322" w:rsidRDefault="00BF7322" w:rsidP="0009620A">
      <w:pPr>
        <w:ind w:left="567" w:right="-58" w:firstLine="709"/>
        <w:jc w:val="both"/>
        <w:rPr>
          <w:b/>
        </w:rPr>
      </w:pPr>
    </w:p>
    <w:p w:rsidR="00BF7322" w:rsidRDefault="00BF7322" w:rsidP="0009620A">
      <w:pPr>
        <w:ind w:left="567" w:right="-58" w:firstLine="709"/>
        <w:jc w:val="both"/>
        <w:rPr>
          <w:b/>
        </w:rPr>
      </w:pPr>
      <w:r>
        <w:rPr>
          <w:b/>
        </w:rPr>
        <w:t>Судья Арбитражного суда</w:t>
      </w:r>
    </w:p>
    <w:p w:rsidR="00BF7322" w:rsidRDefault="00BF7322" w:rsidP="0009620A">
      <w:pPr>
        <w:ind w:left="567" w:right="-58" w:firstLine="709"/>
        <w:jc w:val="both"/>
        <w:rPr>
          <w:b/>
        </w:rPr>
      </w:pPr>
      <w:r>
        <w:rPr>
          <w:b/>
        </w:rPr>
        <w:t xml:space="preserve">Приднестровской Молдавской Республики                 </w:t>
      </w:r>
      <w:r w:rsidR="005043B3">
        <w:rPr>
          <w:b/>
        </w:rPr>
        <w:t xml:space="preserve">          </w:t>
      </w:r>
      <w:r>
        <w:rPr>
          <w:b/>
        </w:rPr>
        <w:t xml:space="preserve"> </w:t>
      </w:r>
      <w:r w:rsidR="005043B3">
        <w:rPr>
          <w:b/>
        </w:rPr>
        <w:t xml:space="preserve">  </w:t>
      </w:r>
      <w:r w:rsidRPr="00D461AC">
        <w:rPr>
          <w:b/>
        </w:rPr>
        <w:t>Е.</w:t>
      </w:r>
      <w:r>
        <w:rPr>
          <w:b/>
        </w:rPr>
        <w:t>В.Качуровская</w:t>
      </w:r>
    </w:p>
    <w:p w:rsidR="00BF7322" w:rsidRDefault="00BF7322" w:rsidP="0009620A">
      <w:pPr>
        <w:ind w:left="567" w:right="-58" w:firstLine="709"/>
        <w:jc w:val="both"/>
        <w:rPr>
          <w:b/>
        </w:rPr>
      </w:pPr>
    </w:p>
    <w:p w:rsidR="00BF7322" w:rsidRDefault="00BF7322" w:rsidP="0009620A">
      <w:pPr>
        <w:ind w:left="567" w:right="-58" w:firstLine="709"/>
        <w:jc w:val="both"/>
        <w:rPr>
          <w:b/>
        </w:rPr>
      </w:pPr>
    </w:p>
    <w:p w:rsidR="00E87E1C" w:rsidRPr="0019237E" w:rsidRDefault="00E87E1C" w:rsidP="00BF7322">
      <w:pPr>
        <w:ind w:right="650" w:firstLine="709"/>
        <w:jc w:val="both"/>
        <w:rPr>
          <w:b/>
          <w:sz w:val="20"/>
          <w:szCs w:val="20"/>
        </w:rPr>
      </w:pPr>
    </w:p>
    <w:p w:rsidR="00E87E1C" w:rsidRPr="0019237E" w:rsidRDefault="00E87E1C" w:rsidP="00BF7322">
      <w:pPr>
        <w:ind w:right="650" w:firstLine="709"/>
        <w:jc w:val="both"/>
        <w:rPr>
          <w:b/>
          <w:sz w:val="20"/>
          <w:szCs w:val="20"/>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p w:rsidR="00E87E1C" w:rsidRDefault="00E87E1C" w:rsidP="00BF7322">
      <w:pPr>
        <w:ind w:right="650" w:firstLine="709"/>
        <w:jc w:val="both"/>
        <w:rPr>
          <w:b/>
        </w:rPr>
      </w:pPr>
    </w:p>
    <w:sectPr w:rsidR="00E87E1C" w:rsidSect="00E77BBC">
      <w:footerReference w:type="default" r:id="rId9"/>
      <w:pgSz w:w="11906" w:h="16838"/>
      <w:pgMar w:top="720" w:right="284" w:bottom="851"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8F7" w:rsidRDefault="004228F7" w:rsidP="00747910">
      <w:r>
        <w:separator/>
      </w:r>
    </w:p>
  </w:endnote>
  <w:endnote w:type="continuationSeparator" w:id="1">
    <w:p w:rsidR="004228F7" w:rsidRDefault="004228F7"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D8" w:rsidRPr="00081B5A" w:rsidRDefault="00804CD8" w:rsidP="00804CD8">
    <w:pPr>
      <w:pStyle w:val="a7"/>
      <w:rPr>
        <w:sz w:val="16"/>
        <w:szCs w:val="16"/>
      </w:rPr>
    </w:pPr>
    <w:r>
      <w:rPr>
        <w:sz w:val="16"/>
        <w:szCs w:val="16"/>
      </w:rPr>
      <w:t>Форма  № Ф-1</w:t>
    </w:r>
  </w:p>
  <w:p w:rsidR="00804CD8" w:rsidRPr="00747910" w:rsidRDefault="00804CD8" w:rsidP="00804CD8">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804CD8" w:rsidRDefault="00804CD8" w:rsidP="00804CD8">
    <w:pPr>
      <w:pStyle w:val="a7"/>
    </w:pPr>
  </w:p>
  <w:p w:rsidR="00804CD8" w:rsidRDefault="008F540A">
    <w:pPr>
      <w:pStyle w:val="a7"/>
      <w:jc w:val="right"/>
    </w:pPr>
    <w:fldSimple w:instr=" PAGE   \* MERGEFORMAT ">
      <w:r w:rsidR="002F7667">
        <w:rPr>
          <w:noProof/>
        </w:rPr>
        <w:t>2</w:t>
      </w:r>
    </w:fldSimple>
  </w:p>
  <w:p w:rsidR="00E76C3A" w:rsidRDefault="00E76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8F7" w:rsidRDefault="004228F7" w:rsidP="00747910">
      <w:r>
        <w:separator/>
      </w:r>
    </w:p>
  </w:footnote>
  <w:footnote w:type="continuationSeparator" w:id="1">
    <w:p w:rsidR="004228F7" w:rsidRDefault="004228F7"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FB7111"/>
    <w:multiLevelType w:val="hybridMultilevel"/>
    <w:tmpl w:val="D43A3BBC"/>
    <w:lvl w:ilvl="0" w:tplc="777C3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0245A8"/>
    <w:multiLevelType w:val="hybridMultilevel"/>
    <w:tmpl w:val="E982E66C"/>
    <w:lvl w:ilvl="0" w:tplc="D6EE010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E0C140D"/>
    <w:multiLevelType w:val="hybridMultilevel"/>
    <w:tmpl w:val="0548FC1E"/>
    <w:lvl w:ilvl="0" w:tplc="6994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mirrorMargins/>
  <w:stylePaneFormatFilter w:val="3F01"/>
  <w:defaultTabStop w:val="708"/>
  <w:noPunctuationKerning/>
  <w:characterSpacingControl w:val="doNotCompress"/>
  <w:hdrShapeDefaults>
    <o:shapedefaults v:ext="edit" spidmax="64514"/>
  </w:hdrShapeDefaults>
  <w:footnotePr>
    <w:footnote w:id="0"/>
    <w:footnote w:id="1"/>
  </w:footnotePr>
  <w:endnotePr>
    <w:endnote w:id="0"/>
    <w:endnote w:id="1"/>
  </w:endnotePr>
  <w:compat/>
  <w:rsids>
    <w:rsidRoot w:val="000C4195"/>
    <w:rsid w:val="00011073"/>
    <w:rsid w:val="000126C2"/>
    <w:rsid w:val="000400F3"/>
    <w:rsid w:val="00045A0B"/>
    <w:rsid w:val="000637A6"/>
    <w:rsid w:val="00080B6B"/>
    <w:rsid w:val="00081B5A"/>
    <w:rsid w:val="0008300A"/>
    <w:rsid w:val="00085128"/>
    <w:rsid w:val="00091ECB"/>
    <w:rsid w:val="0009620A"/>
    <w:rsid w:val="000A7923"/>
    <w:rsid w:val="000B5210"/>
    <w:rsid w:val="000C4195"/>
    <w:rsid w:val="000C512D"/>
    <w:rsid w:val="000C64A5"/>
    <w:rsid w:val="000E2672"/>
    <w:rsid w:val="000E5906"/>
    <w:rsid w:val="000F183A"/>
    <w:rsid w:val="00104D54"/>
    <w:rsid w:val="0012080B"/>
    <w:rsid w:val="00162333"/>
    <w:rsid w:val="00165B73"/>
    <w:rsid w:val="00181BA6"/>
    <w:rsid w:val="001822F2"/>
    <w:rsid w:val="001823B7"/>
    <w:rsid w:val="0019237E"/>
    <w:rsid w:val="00195257"/>
    <w:rsid w:val="001979FD"/>
    <w:rsid w:val="001A48C1"/>
    <w:rsid w:val="001B30A8"/>
    <w:rsid w:val="001B62EA"/>
    <w:rsid w:val="001C0D5F"/>
    <w:rsid w:val="001C1B4F"/>
    <w:rsid w:val="001D3D23"/>
    <w:rsid w:val="001E45FA"/>
    <w:rsid w:val="001F5849"/>
    <w:rsid w:val="00205972"/>
    <w:rsid w:val="00212E13"/>
    <w:rsid w:val="00227353"/>
    <w:rsid w:val="002431E5"/>
    <w:rsid w:val="0026059C"/>
    <w:rsid w:val="00261407"/>
    <w:rsid w:val="00270CED"/>
    <w:rsid w:val="002828CA"/>
    <w:rsid w:val="00285F01"/>
    <w:rsid w:val="00292935"/>
    <w:rsid w:val="002935E2"/>
    <w:rsid w:val="002A1786"/>
    <w:rsid w:val="002B5E5D"/>
    <w:rsid w:val="002D1EC5"/>
    <w:rsid w:val="002D2926"/>
    <w:rsid w:val="002D6295"/>
    <w:rsid w:val="002E0357"/>
    <w:rsid w:val="002E193F"/>
    <w:rsid w:val="002F0A0D"/>
    <w:rsid w:val="002F7667"/>
    <w:rsid w:val="00303D72"/>
    <w:rsid w:val="00325520"/>
    <w:rsid w:val="003331A5"/>
    <w:rsid w:val="003558DC"/>
    <w:rsid w:val="00365A17"/>
    <w:rsid w:val="00381CF3"/>
    <w:rsid w:val="003A617A"/>
    <w:rsid w:val="003B6264"/>
    <w:rsid w:val="003C0922"/>
    <w:rsid w:val="003C14E7"/>
    <w:rsid w:val="004228F7"/>
    <w:rsid w:val="00424065"/>
    <w:rsid w:val="0042556E"/>
    <w:rsid w:val="0043022E"/>
    <w:rsid w:val="00435D1A"/>
    <w:rsid w:val="00437FF4"/>
    <w:rsid w:val="00440CB8"/>
    <w:rsid w:val="00444EB1"/>
    <w:rsid w:val="0045590A"/>
    <w:rsid w:val="00462D10"/>
    <w:rsid w:val="00474C10"/>
    <w:rsid w:val="00481B56"/>
    <w:rsid w:val="00485A7C"/>
    <w:rsid w:val="004A01C7"/>
    <w:rsid w:val="004B0F41"/>
    <w:rsid w:val="004C56EA"/>
    <w:rsid w:val="004C701C"/>
    <w:rsid w:val="004F7B6D"/>
    <w:rsid w:val="00503476"/>
    <w:rsid w:val="005043B3"/>
    <w:rsid w:val="0051667D"/>
    <w:rsid w:val="00531BFC"/>
    <w:rsid w:val="00533BE1"/>
    <w:rsid w:val="00554B3A"/>
    <w:rsid w:val="00567797"/>
    <w:rsid w:val="00587CFC"/>
    <w:rsid w:val="00596A2B"/>
    <w:rsid w:val="005A6736"/>
    <w:rsid w:val="005B665C"/>
    <w:rsid w:val="00605EA7"/>
    <w:rsid w:val="00606082"/>
    <w:rsid w:val="00612F4D"/>
    <w:rsid w:val="006478E4"/>
    <w:rsid w:val="006526EB"/>
    <w:rsid w:val="0066051F"/>
    <w:rsid w:val="00661497"/>
    <w:rsid w:val="00675BED"/>
    <w:rsid w:val="00693F87"/>
    <w:rsid w:val="00694E57"/>
    <w:rsid w:val="006976EB"/>
    <w:rsid w:val="006A5E49"/>
    <w:rsid w:val="006C6D2B"/>
    <w:rsid w:val="006C73BF"/>
    <w:rsid w:val="006C7909"/>
    <w:rsid w:val="006D4A80"/>
    <w:rsid w:val="006E570D"/>
    <w:rsid w:val="006F14B3"/>
    <w:rsid w:val="006F1DF0"/>
    <w:rsid w:val="006F51D7"/>
    <w:rsid w:val="007005CA"/>
    <w:rsid w:val="00710036"/>
    <w:rsid w:val="00717526"/>
    <w:rsid w:val="00746764"/>
    <w:rsid w:val="00747910"/>
    <w:rsid w:val="00750035"/>
    <w:rsid w:val="0075091C"/>
    <w:rsid w:val="0078061E"/>
    <w:rsid w:val="00781009"/>
    <w:rsid w:val="00791858"/>
    <w:rsid w:val="007A51C3"/>
    <w:rsid w:val="007A614C"/>
    <w:rsid w:val="007C0CE8"/>
    <w:rsid w:val="007C124E"/>
    <w:rsid w:val="007C46FF"/>
    <w:rsid w:val="007D7226"/>
    <w:rsid w:val="007F5D91"/>
    <w:rsid w:val="007F6115"/>
    <w:rsid w:val="00803B0E"/>
    <w:rsid w:val="00804CD8"/>
    <w:rsid w:val="00813A13"/>
    <w:rsid w:val="00814D4F"/>
    <w:rsid w:val="00821468"/>
    <w:rsid w:val="00826510"/>
    <w:rsid w:val="008273B9"/>
    <w:rsid w:val="00833454"/>
    <w:rsid w:val="008452B7"/>
    <w:rsid w:val="00846717"/>
    <w:rsid w:val="0085504A"/>
    <w:rsid w:val="00866AE3"/>
    <w:rsid w:val="00897759"/>
    <w:rsid w:val="008A11D6"/>
    <w:rsid w:val="008D2738"/>
    <w:rsid w:val="008D34DD"/>
    <w:rsid w:val="008F4F8B"/>
    <w:rsid w:val="008F540A"/>
    <w:rsid w:val="008F60C5"/>
    <w:rsid w:val="008F64F3"/>
    <w:rsid w:val="0090045E"/>
    <w:rsid w:val="00900716"/>
    <w:rsid w:val="00903238"/>
    <w:rsid w:val="00904994"/>
    <w:rsid w:val="00917458"/>
    <w:rsid w:val="00926900"/>
    <w:rsid w:val="00947C3B"/>
    <w:rsid w:val="00950D62"/>
    <w:rsid w:val="00991CBB"/>
    <w:rsid w:val="00997222"/>
    <w:rsid w:val="009977D8"/>
    <w:rsid w:val="009B1FD7"/>
    <w:rsid w:val="009B5C25"/>
    <w:rsid w:val="009B61B4"/>
    <w:rsid w:val="009C5755"/>
    <w:rsid w:val="009D69D3"/>
    <w:rsid w:val="009F37CE"/>
    <w:rsid w:val="00A032B6"/>
    <w:rsid w:val="00A246E5"/>
    <w:rsid w:val="00A33535"/>
    <w:rsid w:val="00A42F10"/>
    <w:rsid w:val="00A45BF9"/>
    <w:rsid w:val="00A46854"/>
    <w:rsid w:val="00A654E1"/>
    <w:rsid w:val="00A80E5C"/>
    <w:rsid w:val="00AA05B6"/>
    <w:rsid w:val="00AB326C"/>
    <w:rsid w:val="00AB632B"/>
    <w:rsid w:val="00AC58DE"/>
    <w:rsid w:val="00AC6E73"/>
    <w:rsid w:val="00AD4BF0"/>
    <w:rsid w:val="00AE1E59"/>
    <w:rsid w:val="00AE51C6"/>
    <w:rsid w:val="00AF591D"/>
    <w:rsid w:val="00B07D65"/>
    <w:rsid w:val="00B10265"/>
    <w:rsid w:val="00B15B03"/>
    <w:rsid w:val="00B47CD7"/>
    <w:rsid w:val="00B53400"/>
    <w:rsid w:val="00B53DF1"/>
    <w:rsid w:val="00B564AA"/>
    <w:rsid w:val="00B71CCE"/>
    <w:rsid w:val="00B7249F"/>
    <w:rsid w:val="00B84102"/>
    <w:rsid w:val="00B94364"/>
    <w:rsid w:val="00BD306D"/>
    <w:rsid w:val="00BE7BA6"/>
    <w:rsid w:val="00BF54BA"/>
    <w:rsid w:val="00BF7322"/>
    <w:rsid w:val="00C24CF6"/>
    <w:rsid w:val="00C3734A"/>
    <w:rsid w:val="00C43442"/>
    <w:rsid w:val="00C4443F"/>
    <w:rsid w:val="00C502E5"/>
    <w:rsid w:val="00C518EB"/>
    <w:rsid w:val="00C52E1E"/>
    <w:rsid w:val="00C5718C"/>
    <w:rsid w:val="00C77370"/>
    <w:rsid w:val="00C849F3"/>
    <w:rsid w:val="00CA1791"/>
    <w:rsid w:val="00CC555F"/>
    <w:rsid w:val="00CC737D"/>
    <w:rsid w:val="00CD637D"/>
    <w:rsid w:val="00CF4DCA"/>
    <w:rsid w:val="00D0688E"/>
    <w:rsid w:val="00D2564A"/>
    <w:rsid w:val="00D339AC"/>
    <w:rsid w:val="00D41468"/>
    <w:rsid w:val="00D42FAE"/>
    <w:rsid w:val="00D640E8"/>
    <w:rsid w:val="00D65134"/>
    <w:rsid w:val="00D65600"/>
    <w:rsid w:val="00D726D4"/>
    <w:rsid w:val="00D90A20"/>
    <w:rsid w:val="00D91998"/>
    <w:rsid w:val="00D96E34"/>
    <w:rsid w:val="00DA6EC0"/>
    <w:rsid w:val="00DD30D9"/>
    <w:rsid w:val="00DF4C6A"/>
    <w:rsid w:val="00E020DE"/>
    <w:rsid w:val="00E10EEF"/>
    <w:rsid w:val="00E25672"/>
    <w:rsid w:val="00E265BC"/>
    <w:rsid w:val="00E267AF"/>
    <w:rsid w:val="00E37C05"/>
    <w:rsid w:val="00E37FF1"/>
    <w:rsid w:val="00E47763"/>
    <w:rsid w:val="00E6678D"/>
    <w:rsid w:val="00E67E5E"/>
    <w:rsid w:val="00E715EC"/>
    <w:rsid w:val="00E76C3A"/>
    <w:rsid w:val="00E77BBC"/>
    <w:rsid w:val="00E87E1C"/>
    <w:rsid w:val="00E90DB1"/>
    <w:rsid w:val="00E92C98"/>
    <w:rsid w:val="00E975E9"/>
    <w:rsid w:val="00ED67B4"/>
    <w:rsid w:val="00F13710"/>
    <w:rsid w:val="00F14E1C"/>
    <w:rsid w:val="00F16008"/>
    <w:rsid w:val="00F2401C"/>
    <w:rsid w:val="00F253A2"/>
    <w:rsid w:val="00F354AA"/>
    <w:rsid w:val="00F64381"/>
    <w:rsid w:val="00F72C4D"/>
    <w:rsid w:val="00F91EE1"/>
    <w:rsid w:val="00F92BB5"/>
    <w:rsid w:val="00FA6E55"/>
    <w:rsid w:val="00FB599A"/>
    <w:rsid w:val="00FC10E4"/>
    <w:rsid w:val="00FC1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4514"/>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к3,Зн"/>
    <w:basedOn w:val="a"/>
    <w:link w:val="1"/>
    <w:rsid w:val="003B6264"/>
    <w:rPr>
      <w:rFonts w:ascii="Courier New" w:hAnsi="Courier New" w:cs="Courier New"/>
      <w:sz w:val="20"/>
      <w:szCs w:val="20"/>
    </w:rPr>
  </w:style>
  <w:style w:type="character" w:customStyle="1" w:styleId="ab">
    <w:name w:val="Текст Знак"/>
    <w:basedOn w:val="a0"/>
    <w:link w:val="aa"/>
    <w:rsid w:val="003B6264"/>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a"/>
    <w:rsid w:val="003B6264"/>
    <w:rPr>
      <w:rFonts w:ascii="Courier New" w:hAnsi="Courier New" w:cs="Courier New"/>
    </w:rPr>
  </w:style>
  <w:style w:type="paragraph" w:styleId="ac">
    <w:name w:val="Body Text Indent"/>
    <w:basedOn w:val="a"/>
    <w:link w:val="ad"/>
    <w:rsid w:val="003B6264"/>
    <w:pPr>
      <w:spacing w:line="360" w:lineRule="auto"/>
      <w:ind w:firstLine="720"/>
      <w:jc w:val="both"/>
    </w:pPr>
  </w:style>
  <w:style w:type="character" w:customStyle="1" w:styleId="ad">
    <w:name w:val="Основной текст с отступом Знак"/>
    <w:basedOn w:val="a0"/>
    <w:link w:val="ac"/>
    <w:rsid w:val="003B6264"/>
    <w:rPr>
      <w:sz w:val="24"/>
      <w:szCs w:val="24"/>
    </w:rPr>
  </w:style>
  <w:style w:type="paragraph" w:customStyle="1" w:styleId="Style4">
    <w:name w:val="Style4"/>
    <w:basedOn w:val="a"/>
    <w:rsid w:val="00554B3A"/>
    <w:pPr>
      <w:widowControl w:val="0"/>
      <w:autoSpaceDE w:val="0"/>
      <w:autoSpaceDN w:val="0"/>
      <w:adjustRightInd w:val="0"/>
      <w:spacing w:line="278" w:lineRule="exact"/>
      <w:ind w:firstLine="758"/>
      <w:jc w:val="both"/>
    </w:pPr>
  </w:style>
  <w:style w:type="paragraph" w:styleId="ae">
    <w:name w:val="List Paragraph"/>
    <w:basedOn w:val="a"/>
    <w:uiPriority w:val="34"/>
    <w:qFormat/>
    <w:rsid w:val="00A246E5"/>
    <w:pPr>
      <w:ind w:left="720"/>
      <w:contextualSpacing/>
    </w:pPr>
  </w:style>
  <w:style w:type="character" w:customStyle="1" w:styleId="10">
    <w:name w:val="Основной текст Знак1"/>
    <w:basedOn w:val="a0"/>
    <w:link w:val="11"/>
    <w:uiPriority w:val="99"/>
    <w:locked/>
    <w:rsid w:val="00292935"/>
    <w:rPr>
      <w:sz w:val="23"/>
      <w:szCs w:val="23"/>
      <w:shd w:val="clear" w:color="auto" w:fill="FFFFFF"/>
    </w:rPr>
  </w:style>
  <w:style w:type="paragraph" w:customStyle="1" w:styleId="11">
    <w:name w:val="Колонтитул1"/>
    <w:basedOn w:val="a"/>
    <w:link w:val="10"/>
    <w:uiPriority w:val="99"/>
    <w:rsid w:val="00292935"/>
    <w:pPr>
      <w:widowControl w:val="0"/>
      <w:shd w:val="clear" w:color="auto" w:fill="FFFFFF"/>
      <w:spacing w:line="240" w:lineRule="atLeast"/>
    </w:pPr>
    <w:rPr>
      <w:sz w:val="23"/>
      <w:szCs w:val="23"/>
    </w:rPr>
  </w:style>
  <w:style w:type="character" w:customStyle="1" w:styleId="margin">
    <w:name w:val="margin"/>
    <w:basedOn w:val="a0"/>
    <w:rsid w:val="00E25672"/>
    <w:rPr>
      <w:rFonts w:cs="Times New Roman"/>
    </w:rPr>
  </w:style>
</w:styles>
</file>

<file path=word/webSettings.xml><?xml version="1.0" encoding="utf-8"?>
<w:webSettings xmlns:r="http://schemas.openxmlformats.org/officeDocument/2006/relationships" xmlns:w="http://schemas.openxmlformats.org/wordprocessingml/2006/main">
  <w:divs>
    <w:div w:id="292487490">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217739436">
      <w:bodyDiv w:val="1"/>
      <w:marLeft w:val="0"/>
      <w:marRight w:val="0"/>
      <w:marTop w:val="0"/>
      <w:marBottom w:val="0"/>
      <w:divBdr>
        <w:top w:val="none" w:sz="0" w:space="0" w:color="auto"/>
        <w:left w:val="none" w:sz="0" w:space="0" w:color="auto"/>
        <w:bottom w:val="none" w:sz="0" w:space="0" w:color="auto"/>
        <w:right w:val="none" w:sz="0" w:space="0" w:color="auto"/>
      </w:divBdr>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0587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1B7EF-8BC2-4713-848E-2432CDFBF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461</Words>
  <Characters>2628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8</cp:revision>
  <cp:lastPrinted>2020-09-29T10:03:00Z</cp:lastPrinted>
  <dcterms:created xsi:type="dcterms:W3CDTF">2020-09-29T09:44:00Z</dcterms:created>
  <dcterms:modified xsi:type="dcterms:W3CDTF">2020-09-29T10:03:00Z</dcterms:modified>
</cp:coreProperties>
</file>