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484B86" w:rsidRPr="00E933E4" w:rsidTr="00484B86">
        <w:trPr>
          <w:trHeight w:val="259"/>
        </w:trPr>
        <w:tc>
          <w:tcPr>
            <w:tcW w:w="3969" w:type="dxa"/>
          </w:tcPr>
          <w:p w:rsidR="00484B86" w:rsidRPr="00E933E4" w:rsidRDefault="00484B86" w:rsidP="00484B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33E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2571115</wp:posOffset>
                  </wp:positionH>
                  <wp:positionV relativeFrom="paragraph">
                    <wp:posOffset>-288290</wp:posOffset>
                  </wp:positionV>
                  <wp:extent cx="986790" cy="1000125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93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E93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84B86" w:rsidRPr="00E933E4" w:rsidTr="00484B86">
        <w:tc>
          <w:tcPr>
            <w:tcW w:w="3969" w:type="dxa"/>
          </w:tcPr>
          <w:p w:rsidR="00484B86" w:rsidRPr="00E933E4" w:rsidRDefault="00484B86" w:rsidP="00484B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4B86" w:rsidRPr="00E933E4" w:rsidTr="00484B86">
        <w:tc>
          <w:tcPr>
            <w:tcW w:w="3969" w:type="dxa"/>
          </w:tcPr>
          <w:p w:rsidR="00484B86" w:rsidRPr="00E933E4" w:rsidRDefault="00484B86" w:rsidP="00484B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3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933E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933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933E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93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 20____г.</w:t>
            </w:r>
          </w:p>
        </w:tc>
      </w:tr>
    </w:tbl>
    <w:p w:rsidR="00484B86" w:rsidRPr="00E933E4" w:rsidRDefault="00484B86" w:rsidP="00484B86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484B86" w:rsidRPr="00E933E4" w:rsidTr="00484B86">
        <w:trPr>
          <w:trHeight w:val="342"/>
        </w:trPr>
        <w:tc>
          <w:tcPr>
            <w:tcW w:w="3888" w:type="dxa"/>
            <w:shd w:val="clear" w:color="auto" w:fill="auto"/>
          </w:tcPr>
          <w:p w:rsidR="00484B86" w:rsidRPr="00E933E4" w:rsidRDefault="00484B86" w:rsidP="00484B8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84B86" w:rsidRPr="00E933E4" w:rsidRDefault="00484B86" w:rsidP="00484B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84B86" w:rsidRPr="00E933E4" w:rsidRDefault="00484B86" w:rsidP="00484B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3E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484B86" w:rsidRPr="00E933E4" w:rsidRDefault="00484B86" w:rsidP="00484B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3E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84B86" w:rsidRPr="00E933E4" w:rsidRDefault="00484B86" w:rsidP="00484B8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E933E4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E933E4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484B86" w:rsidRPr="00E933E4" w:rsidRDefault="00484B86" w:rsidP="00484B8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E933E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E933E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933E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E933E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933E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E933E4">
        <w:rPr>
          <w:rFonts w:ascii="Times New Roman" w:hAnsi="Times New Roman" w:cs="Times New Roman"/>
          <w:sz w:val="24"/>
          <w:szCs w:val="24"/>
        </w:rPr>
        <w:t>.</w:t>
      </w:r>
      <w:r w:rsidRPr="00E933E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484B86" w:rsidRPr="00E933E4" w:rsidRDefault="00BF2DFD" w:rsidP="00484B8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484B86" w:rsidRPr="00E933E4" w:rsidRDefault="00484B86" w:rsidP="00484B8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3E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933E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933E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484B86" w:rsidRPr="00E933E4" w:rsidRDefault="00484B86" w:rsidP="00484B8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3E4">
        <w:rPr>
          <w:rFonts w:ascii="Times New Roman" w:hAnsi="Times New Roman" w:cs="Times New Roman"/>
          <w:b/>
          <w:sz w:val="24"/>
          <w:szCs w:val="24"/>
        </w:rPr>
        <w:t xml:space="preserve">об отказе в обеспечении заявления </w:t>
      </w: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84B86" w:rsidRPr="00E933E4" w:rsidTr="00484B86">
        <w:trPr>
          <w:trHeight w:val="259"/>
        </w:trPr>
        <w:tc>
          <w:tcPr>
            <w:tcW w:w="4952" w:type="dxa"/>
            <w:gridSpan w:val="7"/>
          </w:tcPr>
          <w:p w:rsidR="00484B86" w:rsidRPr="00E933E4" w:rsidRDefault="00484B86" w:rsidP="00484B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3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E933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15</w:t>
            </w:r>
            <w:r w:rsidRPr="00E933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93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сентября </w:t>
            </w:r>
            <w:r w:rsidRPr="00E933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933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933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E933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Pr="00E933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484B86" w:rsidRPr="00E933E4" w:rsidRDefault="00484B86" w:rsidP="00484B8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933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Дело </w:t>
            </w:r>
            <w:r w:rsidRPr="00E93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543/20</w:t>
            </w:r>
            <w:r w:rsidRPr="00E933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</w:p>
        </w:tc>
      </w:tr>
      <w:tr w:rsidR="00484B86" w:rsidRPr="00E933E4" w:rsidTr="00484B86">
        <w:tc>
          <w:tcPr>
            <w:tcW w:w="1199" w:type="dxa"/>
          </w:tcPr>
          <w:p w:rsidR="00484B86" w:rsidRPr="00E933E4" w:rsidRDefault="00484B86" w:rsidP="00484B8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84B86" w:rsidRPr="00E933E4" w:rsidRDefault="00484B86" w:rsidP="00484B8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84B86" w:rsidRPr="00E933E4" w:rsidRDefault="00484B86" w:rsidP="00484B8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84B86" w:rsidRPr="00E933E4" w:rsidRDefault="00484B86" w:rsidP="00484B86">
            <w:pPr>
              <w:tabs>
                <w:tab w:val="center" w:pos="180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84B86" w:rsidRPr="00E933E4" w:rsidRDefault="00484B86" w:rsidP="00484B8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4B86" w:rsidRPr="00E933E4" w:rsidTr="00484B86">
        <w:tc>
          <w:tcPr>
            <w:tcW w:w="1985" w:type="dxa"/>
            <w:gridSpan w:val="2"/>
          </w:tcPr>
          <w:p w:rsidR="00484B86" w:rsidRPr="00E933E4" w:rsidRDefault="00484B86" w:rsidP="00484B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3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84B86" w:rsidRPr="00E933E4" w:rsidRDefault="00484B86" w:rsidP="00484B8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84B86" w:rsidRPr="00E933E4" w:rsidRDefault="00484B86" w:rsidP="00484B8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484B86" w:rsidRPr="00E933E4" w:rsidRDefault="00484B86" w:rsidP="00484B8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484B86" w:rsidRPr="00E933E4" w:rsidRDefault="00484B86" w:rsidP="00484B8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4B86" w:rsidRPr="00E933E4" w:rsidTr="00484B86">
        <w:tc>
          <w:tcPr>
            <w:tcW w:w="1199" w:type="dxa"/>
          </w:tcPr>
          <w:p w:rsidR="00484B86" w:rsidRPr="00E933E4" w:rsidRDefault="00484B86" w:rsidP="00484B8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84B86" w:rsidRPr="00E933E4" w:rsidRDefault="00484B86" w:rsidP="00484B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84B86" w:rsidRPr="00E933E4" w:rsidRDefault="00484B86" w:rsidP="00484B8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84B86" w:rsidRPr="00E933E4" w:rsidRDefault="00484B86" w:rsidP="00484B8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84B86" w:rsidRPr="00E933E4" w:rsidRDefault="00484B86" w:rsidP="00484B8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4B86" w:rsidRPr="00E933E4" w:rsidTr="00484B86">
        <w:tc>
          <w:tcPr>
            <w:tcW w:w="1199" w:type="dxa"/>
          </w:tcPr>
          <w:p w:rsidR="00484B86" w:rsidRPr="00E933E4" w:rsidRDefault="00484B86" w:rsidP="00484B86">
            <w:pPr>
              <w:spacing w:after="0" w:line="240" w:lineRule="auto"/>
              <w:ind w:right="792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84B86" w:rsidRPr="00E933E4" w:rsidRDefault="00484B86" w:rsidP="00484B86">
            <w:pPr>
              <w:spacing w:after="0" w:line="240" w:lineRule="auto"/>
              <w:ind w:right="792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484B86" w:rsidRPr="00E933E4" w:rsidRDefault="00484B86" w:rsidP="00484B86">
            <w:pPr>
              <w:spacing w:after="0" w:line="240" w:lineRule="auto"/>
              <w:ind w:right="792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84B86" w:rsidRPr="00E933E4" w:rsidRDefault="00484B86" w:rsidP="00484B86">
            <w:pPr>
              <w:spacing w:after="0" w:line="240" w:lineRule="auto"/>
              <w:ind w:right="792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84B86" w:rsidRPr="00E933E4" w:rsidRDefault="00484B86" w:rsidP="00484B86">
            <w:pPr>
              <w:spacing w:after="0" w:line="240" w:lineRule="auto"/>
              <w:ind w:right="792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484B86" w:rsidRPr="0066308E" w:rsidRDefault="00484B86" w:rsidP="00484B86">
      <w:pPr>
        <w:spacing w:after="0" w:line="240" w:lineRule="auto"/>
        <w:ind w:right="-5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E933E4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E93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И. П., рассмотрев ходатайство  </w:t>
      </w:r>
      <w:r w:rsidRPr="00E933E4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E933E4"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 w:rsidRPr="00E933E4">
        <w:rPr>
          <w:rFonts w:ascii="Times New Roman" w:hAnsi="Times New Roman" w:cs="Times New Roman"/>
          <w:sz w:val="24"/>
          <w:szCs w:val="24"/>
        </w:rPr>
        <w:t>» о принятии мер по обеспечению заявления ООО «</w:t>
      </w:r>
      <w:proofErr w:type="spellStart"/>
      <w:r w:rsidRPr="00E933E4"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 w:rsidRPr="00E933E4">
        <w:rPr>
          <w:rFonts w:ascii="Times New Roman" w:hAnsi="Times New Roman" w:cs="Times New Roman"/>
          <w:sz w:val="24"/>
          <w:szCs w:val="24"/>
        </w:rPr>
        <w:t>» (г</w:t>
      </w:r>
      <w:proofErr w:type="gramStart"/>
      <w:r w:rsidRPr="00E933E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933E4">
        <w:rPr>
          <w:rFonts w:ascii="Times New Roman" w:hAnsi="Times New Roman" w:cs="Times New Roman"/>
          <w:sz w:val="24"/>
          <w:szCs w:val="24"/>
        </w:rPr>
        <w:t xml:space="preserve">ыбница, ул. Первомайская 28)   к  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Государственному унитарному предприятию «Таможенный брокер» (г. Тирасполь, ул. Гоголя, д. 2 «а») о признании недостоверной  величины рыночной оценки недвижимого имущества </w:t>
      </w:r>
      <w:r w:rsidRPr="0066308E">
        <w:rPr>
          <w:rFonts w:ascii="Times New Roman" w:hAnsi="Times New Roman" w:cs="Times New Roman"/>
          <w:sz w:val="24"/>
          <w:szCs w:val="24"/>
        </w:rPr>
        <w:t>и изучив приложенные к нему документы,</w:t>
      </w:r>
    </w:p>
    <w:p w:rsidR="00484B86" w:rsidRPr="000819E6" w:rsidRDefault="00484B86" w:rsidP="00484B86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</w:p>
    <w:p w:rsidR="00484B86" w:rsidRDefault="00484B86" w:rsidP="00484B86">
      <w:pPr>
        <w:pStyle w:val="HTML"/>
        <w:ind w:left="-142"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19E6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484B86" w:rsidRDefault="00484B86" w:rsidP="00484B86">
      <w:pPr>
        <w:pStyle w:val="HTML"/>
        <w:ind w:left="-142"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4B86" w:rsidRPr="005F4863" w:rsidRDefault="00484B86" w:rsidP="00161DBE">
      <w:pPr>
        <w:pStyle w:val="HTML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общество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Люкка</w:t>
      </w:r>
      <w:proofErr w:type="spellEnd"/>
      <w:r>
        <w:rPr>
          <w:rStyle w:val="FontStyle14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- истец,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BA77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обратилось в Арбитражный суд с исковым заявлением к</w:t>
      </w:r>
      <w:r w:rsidRPr="00BA7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Государств</w:t>
      </w:r>
      <w:r w:rsidR="00161DBE">
        <w:rPr>
          <w:rStyle w:val="FontStyle14"/>
          <w:sz w:val="24"/>
          <w:szCs w:val="24"/>
        </w:rPr>
        <w:t>енному унитарному предприятию «</w:t>
      </w:r>
      <w:r>
        <w:rPr>
          <w:rStyle w:val="FontStyle14"/>
          <w:sz w:val="24"/>
          <w:szCs w:val="24"/>
        </w:rPr>
        <w:t>Таможенный брокер»</w:t>
      </w:r>
      <w:r w:rsidRPr="00BA777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далее - ответчик, ГУП) с требованием о признании </w:t>
      </w:r>
      <w:r w:rsidRPr="00DD3490">
        <w:rPr>
          <w:rFonts w:ascii="Times New Roman" w:hAnsi="Times New Roman" w:cs="Times New Roman"/>
          <w:sz w:val="24"/>
          <w:szCs w:val="24"/>
        </w:rPr>
        <w:t>недостоверной величины рыночной оценки.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863">
        <w:rPr>
          <w:rFonts w:ascii="Times New Roman" w:hAnsi="Times New Roman" w:cs="Times New Roman"/>
          <w:sz w:val="24"/>
          <w:szCs w:val="24"/>
        </w:rPr>
        <w:t xml:space="preserve">Определением Арбитражного суда от </w:t>
      </w:r>
      <w:r>
        <w:rPr>
          <w:rFonts w:ascii="Times New Roman" w:hAnsi="Times New Roman" w:cs="Times New Roman"/>
          <w:sz w:val="24"/>
          <w:szCs w:val="24"/>
        </w:rPr>
        <w:t xml:space="preserve">15 сентября </w:t>
      </w:r>
      <w:r w:rsidRPr="005F486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5F4863">
        <w:rPr>
          <w:rFonts w:ascii="Times New Roman" w:hAnsi="Times New Roman" w:cs="Times New Roman"/>
          <w:sz w:val="24"/>
          <w:szCs w:val="24"/>
        </w:rPr>
        <w:t xml:space="preserve">года указанное заявление принято к производству. </w:t>
      </w:r>
    </w:p>
    <w:p w:rsidR="00484B86" w:rsidRPr="00484B86" w:rsidRDefault="00161DBE" w:rsidP="00161DBE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заявлен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 w:rsidR="00484B86" w:rsidRPr="00484B86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484B86" w:rsidRPr="00484B8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84B86" w:rsidRPr="00484B86"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 w:rsidR="00484B86" w:rsidRPr="00484B86">
        <w:rPr>
          <w:rFonts w:ascii="Times New Roman" w:hAnsi="Times New Roman" w:cs="Times New Roman"/>
          <w:sz w:val="24"/>
          <w:szCs w:val="24"/>
        </w:rPr>
        <w:t>», направленном в Арбитражный суд, имеется ходатайство о принятии мер по обеспечению заявления в виде запрета Государственной Службе судебных исполнителей Министерства юстиции ПМР реализаци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84B86" w:rsidRPr="00484B86">
        <w:rPr>
          <w:rFonts w:ascii="Times New Roman" w:hAnsi="Times New Roman" w:cs="Times New Roman"/>
          <w:sz w:val="24"/>
          <w:szCs w:val="24"/>
        </w:rPr>
        <w:t xml:space="preserve"> арестованного заложенного недвижимого имущества ООО «</w:t>
      </w:r>
      <w:proofErr w:type="spellStart"/>
      <w:r w:rsidR="00484B86" w:rsidRPr="00484B86"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 w:rsidR="00484B86" w:rsidRPr="00484B86">
        <w:rPr>
          <w:rFonts w:ascii="Times New Roman" w:hAnsi="Times New Roman" w:cs="Times New Roman"/>
          <w:sz w:val="24"/>
          <w:szCs w:val="24"/>
        </w:rPr>
        <w:t xml:space="preserve">», а именно части автозаправочного комплекса, состоящего из двухэтажного здания операторной лит. А-181, 1. кв.м., расположенного по адресу </w:t>
      </w:r>
      <w:proofErr w:type="gramStart"/>
      <w:r w:rsidR="00484B86" w:rsidRPr="00484B8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84B86" w:rsidRPr="00484B86">
        <w:rPr>
          <w:rFonts w:ascii="Times New Roman" w:hAnsi="Times New Roman" w:cs="Times New Roman"/>
          <w:sz w:val="24"/>
          <w:szCs w:val="24"/>
        </w:rPr>
        <w:t>. Рыбница, ул. Индустриальная 15 на публичных торгах в форме открытого аукциона до вступления в законную силу решения Арбитражного суда по настоящему делу.</w:t>
      </w:r>
    </w:p>
    <w:p w:rsidR="00484B86" w:rsidRPr="00E933E4" w:rsidRDefault="00484B86" w:rsidP="00161DBE">
      <w:pPr>
        <w:tabs>
          <w:tab w:val="left" w:pos="0"/>
        </w:tabs>
        <w:spacing w:after="0" w:line="240" w:lineRule="auto"/>
        <w:ind w:right="-2"/>
        <w:jc w:val="both"/>
        <w:rPr>
          <w:rStyle w:val="a4"/>
          <w:rFonts w:eastAsiaTheme="minorEastAsia"/>
        </w:rPr>
      </w:pPr>
      <w:r w:rsidRPr="005F4863">
        <w:rPr>
          <w:rFonts w:ascii="Times New Roman" w:hAnsi="Times New Roman" w:cs="Times New Roman"/>
          <w:sz w:val="24"/>
          <w:szCs w:val="24"/>
        </w:rPr>
        <w:tab/>
      </w:r>
      <w:r w:rsidRPr="00924170">
        <w:rPr>
          <w:rStyle w:val="a4"/>
          <w:rFonts w:eastAsiaTheme="minorEastAsia"/>
        </w:rPr>
        <w:t xml:space="preserve">Рассмотрев </w:t>
      </w:r>
      <w:r>
        <w:rPr>
          <w:rStyle w:val="a4"/>
          <w:rFonts w:eastAsiaTheme="minorEastAsia"/>
        </w:rPr>
        <w:t>ходатайств</w:t>
      </w:r>
      <w:proofErr w:type="gramStart"/>
      <w:r>
        <w:rPr>
          <w:rStyle w:val="a4"/>
          <w:rFonts w:eastAsiaTheme="minorEastAsia"/>
        </w:rPr>
        <w:t>о</w:t>
      </w:r>
      <w:r w:rsidRPr="00924170">
        <w:rPr>
          <w:rStyle w:val="a4"/>
          <w:rFonts w:eastAsiaTheme="minorEastAsia"/>
        </w:rPr>
        <w:t xml:space="preserve"> </w:t>
      </w:r>
      <w:r w:rsidRPr="00924170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92417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24170"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 w:rsidRPr="00924170">
        <w:rPr>
          <w:rFonts w:ascii="Times New Roman" w:hAnsi="Times New Roman" w:cs="Times New Roman"/>
          <w:sz w:val="24"/>
          <w:szCs w:val="24"/>
        </w:rPr>
        <w:t>»</w:t>
      </w:r>
      <w:r w:rsidRPr="00924170">
        <w:rPr>
          <w:rStyle w:val="a4"/>
          <w:rFonts w:eastAsiaTheme="minorEastAsia"/>
        </w:rPr>
        <w:t xml:space="preserve"> о</w:t>
      </w:r>
      <w:r w:rsidRPr="00E933E4">
        <w:rPr>
          <w:rStyle w:val="a4"/>
          <w:rFonts w:eastAsiaTheme="minorEastAsia"/>
        </w:rPr>
        <w:t xml:space="preserve"> принятии мер по обеспечению заявления</w:t>
      </w:r>
      <w:r>
        <w:rPr>
          <w:rStyle w:val="a4"/>
          <w:rFonts w:eastAsiaTheme="minorEastAsia"/>
        </w:rPr>
        <w:t>,</w:t>
      </w:r>
      <w:r w:rsidRPr="00E933E4">
        <w:rPr>
          <w:rStyle w:val="a4"/>
          <w:rFonts w:eastAsiaTheme="minorEastAsia"/>
        </w:rPr>
        <w:t xml:space="preserve"> Арбитражный суд не усматривает наличия оснований для принятия таковых ввиду следующего.</w:t>
      </w:r>
    </w:p>
    <w:p w:rsidR="00484B86" w:rsidRPr="00E933E4" w:rsidRDefault="00161DBE" w:rsidP="00161DB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</w:t>
      </w:r>
      <w:r w:rsidR="00484B86"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пункта 1 статьи 64  Арбитражного процессуального кодекса Приднестровской Молдавской Республики (далее - АПК ПМР)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484B86"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рбитражный суд по заявлению лица, участвующего в деле, может принять срочные, временные </w:t>
      </w:r>
      <w:r w:rsidR="00484B86"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меры</w:t>
      </w:r>
      <w:r w:rsidR="00484B86"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направленные на </w:t>
      </w:r>
      <w:r w:rsidR="00484B86"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="00484B86"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или имущественных интересов заявителя.</w:t>
      </w:r>
    </w:p>
    <w:p w:rsidR="00484B86" w:rsidRDefault="00484B86" w:rsidP="00161DB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пункту 2 указанной статьи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допускаются на любой стадии арбитражного процесса, если непринятие этих 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акта, а также в целях предотвращения причинения значительного ущерба заявителю.</w:t>
      </w:r>
    </w:p>
    <w:p w:rsidR="00484B86" w:rsidRDefault="00484B86" w:rsidP="00161DB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</w:t>
      </w:r>
      <w:r w:rsidR="00161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разрешении поданного ходатайства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Арбитражный суд исходит из того, что обеспечительные меры в соответствии с положениями пункта 2 статьи 64 АПК ПМР носят срочны</w:t>
      </w:r>
      <w:r w:rsidR="00161DBE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временны</w:t>
      </w:r>
      <w:r w:rsidR="00161DBE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характер. При этом период действия данных мер связан с необходимость</w:t>
      </w:r>
      <w:r w:rsidR="00161DBE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обеспечения реального исполнения судебного решения либо предотвращения  </w:t>
      </w:r>
      <w:r w:rsidR="00161DBE">
        <w:rPr>
          <w:rFonts w:ascii="Times New Roman" w:hAnsi="Times New Roman" w:cs="Times New Roman"/>
          <w:sz w:val="24"/>
          <w:szCs w:val="24"/>
          <w:shd w:val="clear" w:color="auto" w:fill="FFFFFF"/>
        </w:rPr>
        <w:t>будущего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ущерба заявителю. </w:t>
      </w:r>
    </w:p>
    <w:p w:rsidR="00484B86" w:rsidRDefault="00484B86" w:rsidP="0048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Из материалов дела следует, что объект недвижимого имущества</w:t>
      </w:r>
      <w:r w:rsidR="00161DB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84B86">
        <w:rPr>
          <w:rFonts w:ascii="Times New Roman" w:hAnsi="Times New Roman" w:cs="Times New Roman"/>
          <w:sz w:val="24"/>
          <w:szCs w:val="24"/>
        </w:rPr>
        <w:t>расположенн</w:t>
      </w:r>
      <w:r w:rsidR="00161DBE">
        <w:rPr>
          <w:rFonts w:ascii="Times New Roman" w:hAnsi="Times New Roman" w:cs="Times New Roman"/>
          <w:sz w:val="24"/>
          <w:szCs w:val="24"/>
        </w:rPr>
        <w:t>ый</w:t>
      </w:r>
      <w:r w:rsidRPr="00484B86">
        <w:rPr>
          <w:rFonts w:ascii="Times New Roman" w:hAnsi="Times New Roman" w:cs="Times New Roman"/>
          <w:sz w:val="24"/>
          <w:szCs w:val="24"/>
        </w:rPr>
        <w:t xml:space="preserve"> по адресу </w:t>
      </w:r>
      <w:proofErr w:type="gramStart"/>
      <w:r w:rsidRPr="00484B8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84B86">
        <w:rPr>
          <w:rFonts w:ascii="Times New Roman" w:hAnsi="Times New Roman" w:cs="Times New Roman"/>
          <w:sz w:val="24"/>
          <w:szCs w:val="24"/>
        </w:rPr>
        <w:t>. Рыбница, ул. Индустриальная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CAE">
        <w:rPr>
          <w:rFonts w:ascii="Times New Roman" w:hAnsi="Times New Roman" w:cs="Times New Roman"/>
          <w:sz w:val="24"/>
          <w:szCs w:val="24"/>
        </w:rPr>
        <w:t>было подвергнуто аресту и описи (акт  от  17 ноября 201</w:t>
      </w:r>
      <w:r w:rsidR="00161DBE">
        <w:rPr>
          <w:rFonts w:ascii="Times New Roman" w:hAnsi="Times New Roman" w:cs="Times New Roman"/>
          <w:sz w:val="24"/>
          <w:szCs w:val="24"/>
        </w:rPr>
        <w:t>7</w:t>
      </w:r>
      <w:r w:rsidR="00574CAE">
        <w:rPr>
          <w:rFonts w:ascii="Times New Roman" w:hAnsi="Times New Roman" w:cs="Times New Roman"/>
          <w:sz w:val="24"/>
          <w:szCs w:val="24"/>
        </w:rPr>
        <w:t xml:space="preserve"> года,  постановление от 2</w:t>
      </w:r>
      <w:r w:rsidR="00161DBE">
        <w:rPr>
          <w:rFonts w:ascii="Times New Roman" w:hAnsi="Times New Roman" w:cs="Times New Roman"/>
          <w:sz w:val="24"/>
          <w:szCs w:val="24"/>
        </w:rPr>
        <w:t>4</w:t>
      </w:r>
      <w:r w:rsidR="00574CAE">
        <w:rPr>
          <w:rFonts w:ascii="Times New Roman" w:hAnsi="Times New Roman" w:cs="Times New Roman"/>
          <w:sz w:val="24"/>
          <w:szCs w:val="24"/>
        </w:rPr>
        <w:t xml:space="preserve"> апреля 2017 года). </w:t>
      </w:r>
    </w:p>
    <w:p w:rsidR="00574CAE" w:rsidRDefault="00574CAE" w:rsidP="0048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="00161DB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от 11 августа 2020 года  часть автозаправочного комплекса </w:t>
      </w:r>
      <w:r w:rsidRPr="00484B86">
        <w:rPr>
          <w:rFonts w:ascii="Times New Roman" w:hAnsi="Times New Roman" w:cs="Times New Roman"/>
          <w:sz w:val="24"/>
          <w:szCs w:val="24"/>
        </w:rPr>
        <w:t xml:space="preserve">состоящего из двухэтажного здания </w:t>
      </w:r>
      <w:proofErr w:type="gramStart"/>
      <w:r w:rsidRPr="00484B86">
        <w:rPr>
          <w:rFonts w:ascii="Times New Roman" w:hAnsi="Times New Roman" w:cs="Times New Roman"/>
          <w:sz w:val="24"/>
          <w:szCs w:val="24"/>
        </w:rPr>
        <w:t>операторной</w:t>
      </w:r>
      <w:proofErr w:type="gramEnd"/>
      <w:r w:rsidRPr="00484B86">
        <w:rPr>
          <w:rFonts w:ascii="Times New Roman" w:hAnsi="Times New Roman" w:cs="Times New Roman"/>
          <w:sz w:val="24"/>
          <w:szCs w:val="24"/>
        </w:rPr>
        <w:t xml:space="preserve"> лит. А-181, 1. кв.м., расположенного по адресу </w:t>
      </w:r>
      <w:proofErr w:type="gramStart"/>
      <w:r w:rsidRPr="00484B8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84B86">
        <w:rPr>
          <w:rFonts w:ascii="Times New Roman" w:hAnsi="Times New Roman" w:cs="Times New Roman"/>
          <w:sz w:val="24"/>
          <w:szCs w:val="24"/>
        </w:rPr>
        <w:t>. Рыбница, ул. Индустриальная 15</w:t>
      </w:r>
      <w:r w:rsidR="00161D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была передана  на реализацию путем проведения публичных торгов. </w:t>
      </w:r>
    </w:p>
    <w:p w:rsidR="00574CAE" w:rsidRDefault="00574CAE" w:rsidP="0048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торги по реализации указного имущества  согласно информации опубликованной  в газете «Приднестровье» от 14 августа 2020 года</w:t>
      </w:r>
      <w:r w:rsidR="00161D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долж</w:t>
      </w:r>
      <w:r w:rsidR="00161DBE">
        <w:rPr>
          <w:rFonts w:ascii="Times New Roman" w:hAnsi="Times New Roman" w:cs="Times New Roman"/>
          <w:sz w:val="24"/>
          <w:szCs w:val="24"/>
        </w:rPr>
        <w:t>ны</w:t>
      </w:r>
      <w:r>
        <w:rPr>
          <w:rFonts w:ascii="Times New Roman" w:hAnsi="Times New Roman" w:cs="Times New Roman"/>
          <w:sz w:val="24"/>
          <w:szCs w:val="24"/>
        </w:rPr>
        <w:t xml:space="preserve"> состояться 15 сентября 2020 года в 10-00. </w:t>
      </w:r>
    </w:p>
    <w:p w:rsidR="00574CAE" w:rsidRDefault="00574CAE" w:rsidP="0048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дата и время проведения торгов уже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наступили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Арбитражный суд приходит к выводу об отсутствии оснований для удовлетворения ходатайства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назначении обеспечительных мер, так как таковые не будут соответствовать признакам временности и срочности таковых.</w:t>
      </w:r>
    </w:p>
    <w:p w:rsidR="006976DF" w:rsidRDefault="00574CAE" w:rsidP="00697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Кроме того</w:t>
      </w:r>
      <w:r w:rsidR="00161DB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ООО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Люкка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ходатайствует 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примени</w:t>
      </w:r>
      <w:r w:rsidR="00161DB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обеспечительной меры, предусмотренной подпунктом б)  части первой статьи 65 АП</w:t>
      </w:r>
      <w:r w:rsidR="006976DF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ПМР, а именно запрещение ответчику и другим лицам совершать определенные действия, касающиеся предмета спора. При этом предмет</w:t>
      </w:r>
      <w:r w:rsidR="00161DBE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спора по настоящему делу является </w:t>
      </w:r>
      <w:r w:rsidR="006976DF">
        <w:rPr>
          <w:rFonts w:ascii="Times New Roman" w:hAnsi="Times New Roman" w:cs="Times New Roman"/>
          <w:sz w:val="24"/>
          <w:szCs w:val="24"/>
          <w:shd w:val="clear" w:color="auto" w:fill="FFFFFF"/>
        </w:rPr>
        <w:t>достоверность (</w:t>
      </w:r>
      <w:proofErr w:type="spellStart"/>
      <w:r w:rsidR="006976DF">
        <w:rPr>
          <w:rFonts w:ascii="Times New Roman" w:hAnsi="Times New Roman" w:cs="Times New Roman"/>
          <w:sz w:val="24"/>
          <w:szCs w:val="24"/>
          <w:shd w:val="clear" w:color="auto" w:fill="FFFFFF"/>
        </w:rPr>
        <w:t>недоствореность</w:t>
      </w:r>
      <w:proofErr w:type="spellEnd"/>
      <w:r w:rsidR="00697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величины рыночной оценки, изложенной </w:t>
      </w:r>
      <w:r w:rsidR="00161DBE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97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заключении ГУП «Таможенный брокер»  № 240/20 от 4 августа 2020 года. ООО «</w:t>
      </w:r>
      <w:proofErr w:type="spellStart"/>
      <w:r w:rsidR="006976DF">
        <w:rPr>
          <w:rFonts w:ascii="Times New Roman" w:hAnsi="Times New Roman" w:cs="Times New Roman"/>
          <w:sz w:val="24"/>
          <w:szCs w:val="24"/>
          <w:shd w:val="clear" w:color="auto" w:fill="FFFFFF"/>
        </w:rPr>
        <w:t>Люкка</w:t>
      </w:r>
      <w:proofErr w:type="spellEnd"/>
      <w:r w:rsidR="00697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же в поданном заявлении просит запретить реализацию объекта недвижимого имущества, что, по мнению </w:t>
      </w:r>
      <w:proofErr w:type="gramStart"/>
      <w:r w:rsidR="006976DF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Арбитражного</w:t>
      </w:r>
      <w:proofErr w:type="gramEnd"/>
      <w:r w:rsidR="00697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суда, не является предметом настоящего дела. </w:t>
      </w:r>
      <w:proofErr w:type="gramStart"/>
      <w:r w:rsidR="006976DF">
        <w:rPr>
          <w:rFonts w:ascii="Times New Roman" w:hAnsi="Times New Roman" w:cs="Times New Roman"/>
          <w:sz w:val="24"/>
          <w:szCs w:val="24"/>
          <w:shd w:val="clear" w:color="auto" w:fill="FFFFFF"/>
        </w:rPr>
        <w:t>Следовательно</w:t>
      </w:r>
      <w:proofErr w:type="gramEnd"/>
      <w:r w:rsidR="00697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испрашиваемая ООО «</w:t>
      </w:r>
      <w:proofErr w:type="spellStart"/>
      <w:r w:rsidR="006976DF">
        <w:rPr>
          <w:rFonts w:ascii="Times New Roman" w:hAnsi="Times New Roman" w:cs="Times New Roman"/>
          <w:sz w:val="24"/>
          <w:szCs w:val="24"/>
          <w:shd w:val="clear" w:color="auto" w:fill="FFFFFF"/>
        </w:rPr>
        <w:t>Люкка</w:t>
      </w:r>
      <w:proofErr w:type="spellEnd"/>
      <w:r w:rsidR="00697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обеспечительная мера со ссылкой на подпункт б) части первой статьи 65 АПК ПМР назначена быть не может. </w:t>
      </w:r>
    </w:p>
    <w:p w:rsidR="00484B86" w:rsidRPr="00AE072C" w:rsidRDefault="006976DF" w:rsidP="0048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положениями статьи 45 АПК ПМР </w:t>
      </w:r>
      <w:r w:rsidR="00484B86"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обязанность доказывания обстоятельств, свидетельствующих о необходимости принятия </w:t>
      </w:r>
      <w:r w:rsidR="00484B86" w:rsidRPr="00AE072C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</w:t>
      </w:r>
      <w:r w:rsidR="00484B86"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>, лежит на заявителе</w:t>
      </w:r>
      <w:r w:rsidR="00484B86" w:rsidRPr="00AE072C">
        <w:rPr>
          <w:rFonts w:ascii="Times New Roman" w:hAnsi="Times New Roman" w:cs="Times New Roman"/>
          <w:sz w:val="24"/>
          <w:szCs w:val="24"/>
        </w:rPr>
        <w:t>. </w:t>
      </w:r>
    </w:p>
    <w:p w:rsidR="00484B86" w:rsidRPr="00AE072C" w:rsidRDefault="00484B86" w:rsidP="0048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6FE7">
        <w:rPr>
          <w:rFonts w:ascii="Times New Roman" w:hAnsi="Times New Roman" w:cs="Times New Roman"/>
          <w:sz w:val="24"/>
          <w:szCs w:val="24"/>
          <w:shd w:val="clear" w:color="auto" w:fill="FFFFFF"/>
        </w:rPr>
        <w:t>АПК ПМР не предусматривает конкретных оснований, обязывающих суд применять </w:t>
      </w:r>
      <w:r w:rsidRPr="00836FE7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</w:t>
      </w:r>
      <w:r w:rsidRPr="00836F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Оценка обоснованности и необходимости </w:t>
      </w:r>
      <w:r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применения </w:t>
      </w:r>
      <w:r w:rsidRPr="00AE072C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производится Арбитражным судом по своему внутреннему убеждению, основанному на изучении всех обстоятельств спора.</w:t>
      </w:r>
    </w:p>
    <w:p w:rsidR="00484B86" w:rsidRPr="004539B7" w:rsidRDefault="00484B86" w:rsidP="0048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>Учитывая, что </w:t>
      </w:r>
      <w:r w:rsidRPr="00AE072C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применяю</w:t>
      </w:r>
      <w:r w:rsidR="00161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тся при условии обоснованности </w:t>
      </w:r>
      <w:r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Арбитражный суд </w:t>
      </w:r>
      <w:r w:rsidR="00697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основании изложенных выше обстоятельств, </w:t>
      </w:r>
      <w:r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>признает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указанные </w:t>
      </w:r>
      <w:r w:rsidR="00697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заявлении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довод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 </w:t>
      </w:r>
      <w:r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>ООО</w:t>
      </w:r>
      <w:proofErr w:type="gramEnd"/>
      <w:r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>Люкка</w:t>
      </w:r>
      <w:proofErr w:type="spellEnd"/>
      <w:r w:rsidRPr="00AE072C">
        <w:rPr>
          <w:rFonts w:ascii="Times New Roman" w:hAnsi="Times New Roman" w:cs="Times New Roman"/>
          <w:sz w:val="24"/>
          <w:szCs w:val="24"/>
          <w:shd w:val="clear" w:color="auto" w:fill="FFFFFF"/>
        </w:rPr>
        <w:t>» необоснованным. </w:t>
      </w:r>
    </w:p>
    <w:p w:rsidR="00484B86" w:rsidRPr="006F7E12" w:rsidRDefault="00484B86" w:rsidP="00484B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 пункту 5 статьи  65-2 АПК ПМР в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обеспечении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может быть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отказано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, если отсутствуют предусмотренные статьей 64 АПК ПМР основания для принятия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по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обеспечению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иска. </w:t>
      </w:r>
    </w:p>
    <w:p w:rsidR="00484B86" w:rsidRPr="006F7E12" w:rsidRDefault="00484B86" w:rsidP="0048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основании изложенного, с учетом обстоятельств дела </w:t>
      </w:r>
      <w:r w:rsidRPr="00E933E4">
        <w:rPr>
          <w:rFonts w:ascii="Times New Roman" w:hAnsi="Times New Roman" w:cs="Times New Roman"/>
          <w:sz w:val="24"/>
          <w:szCs w:val="24"/>
        </w:rPr>
        <w:t xml:space="preserve">Арбитражный суд приходит </w:t>
      </w:r>
      <w:r w:rsidRPr="00924170">
        <w:rPr>
          <w:rFonts w:ascii="Times New Roman" w:hAnsi="Times New Roman" w:cs="Times New Roman"/>
          <w:sz w:val="24"/>
          <w:szCs w:val="24"/>
        </w:rPr>
        <w:t xml:space="preserve">к выводу </w:t>
      </w:r>
      <w:r>
        <w:rPr>
          <w:rFonts w:ascii="Times New Roman" w:hAnsi="Times New Roman" w:cs="Times New Roman"/>
          <w:sz w:val="24"/>
          <w:szCs w:val="24"/>
        </w:rPr>
        <w:t xml:space="preserve">о том, </w:t>
      </w:r>
      <w:r w:rsidRPr="00924170">
        <w:rPr>
          <w:rFonts w:ascii="Times New Roman" w:hAnsi="Times New Roman" w:cs="Times New Roman"/>
          <w:sz w:val="24"/>
          <w:szCs w:val="24"/>
          <w:shd w:val="clear" w:color="auto" w:fill="FFFFFF"/>
        </w:rPr>
        <w:t>что необходимость в принятии </w:t>
      </w:r>
      <w:r w:rsidRPr="00924170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</w:t>
      </w:r>
      <w:r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924170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924170">
        <w:rPr>
          <w:rFonts w:ascii="Times New Roman" w:hAnsi="Times New Roman" w:cs="Times New Roman"/>
          <w:sz w:val="24"/>
          <w:szCs w:val="24"/>
          <w:shd w:val="clear" w:color="auto" w:fill="FFFFFF"/>
        </w:rPr>
        <w:t>отсутствует</w:t>
      </w:r>
      <w:r w:rsidRPr="009241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</w:t>
      </w:r>
      <w:r w:rsidR="00697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заявление 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ООО «</w:t>
      </w:r>
      <w:proofErr w:type="spellStart"/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Люкка</w:t>
      </w:r>
      <w:proofErr w:type="spellEnd"/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» о принятии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="00697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подлежит удовлетворению. </w:t>
      </w:r>
    </w:p>
    <w:p w:rsidR="00484B86" w:rsidRPr="00E933E4" w:rsidRDefault="00484B86" w:rsidP="00484B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 </w:t>
      </w:r>
      <w:r w:rsidRPr="00E933E4">
        <w:rPr>
          <w:rFonts w:ascii="Times New Roman" w:hAnsi="Times New Roman" w:cs="Times New Roman"/>
          <w:sz w:val="24"/>
          <w:szCs w:val="24"/>
        </w:rPr>
        <w:t xml:space="preserve">выше </w:t>
      </w:r>
      <w:r w:rsidRPr="00E933E4">
        <w:rPr>
          <w:rFonts w:ascii="Times New Roman" w:eastAsia="Times New Roman" w:hAnsi="Times New Roman" w:cs="Times New Roman"/>
          <w:sz w:val="24"/>
          <w:szCs w:val="24"/>
        </w:rPr>
        <w:t xml:space="preserve">и руководствуясь </w:t>
      </w:r>
      <w:r w:rsidRPr="00E933E4">
        <w:rPr>
          <w:rFonts w:ascii="Times New Roman" w:hAnsi="Times New Roman" w:cs="Times New Roman"/>
          <w:sz w:val="24"/>
          <w:szCs w:val="24"/>
        </w:rPr>
        <w:t xml:space="preserve"> статьями 64, 65-2,</w:t>
      </w:r>
      <w:r w:rsidRPr="00E933E4">
        <w:rPr>
          <w:rFonts w:ascii="Times New Roman" w:eastAsia="Times New Roman" w:hAnsi="Times New Roman" w:cs="Times New Roman"/>
          <w:sz w:val="24"/>
          <w:szCs w:val="24"/>
        </w:rPr>
        <w:t xml:space="preserve"> 128 А</w:t>
      </w:r>
      <w:r w:rsidRPr="00E933E4">
        <w:rPr>
          <w:rFonts w:ascii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</w:t>
      </w:r>
      <w:r w:rsidRPr="00E933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33E4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Pr="00E933E4">
        <w:rPr>
          <w:rFonts w:ascii="Times New Roman" w:eastAsia="Times New Roman" w:hAnsi="Times New Roman" w:cs="Times New Roman"/>
          <w:sz w:val="24"/>
          <w:szCs w:val="24"/>
        </w:rPr>
        <w:t>суд</w:t>
      </w:r>
    </w:p>
    <w:p w:rsidR="00484B86" w:rsidRDefault="00484B86" w:rsidP="00484B8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3E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933E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933E4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484B86" w:rsidRPr="00E933E4" w:rsidRDefault="00484B86" w:rsidP="00484B8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B86" w:rsidRPr="00E933E4" w:rsidRDefault="006976DF" w:rsidP="00484B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удовлетворении ходатайств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484B86" w:rsidRPr="00E933E4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484B86" w:rsidRPr="00E933E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84B86" w:rsidRPr="00E933E4"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 w:rsidR="00484B86" w:rsidRPr="00E933E4">
        <w:rPr>
          <w:rFonts w:ascii="Times New Roman" w:hAnsi="Times New Roman" w:cs="Times New Roman"/>
          <w:sz w:val="24"/>
          <w:szCs w:val="24"/>
        </w:rPr>
        <w:t xml:space="preserve">» о принятии обеспечительных мер отказать. </w:t>
      </w:r>
    </w:p>
    <w:p w:rsidR="00484B86" w:rsidRPr="00E933E4" w:rsidRDefault="00484B86" w:rsidP="00484B86">
      <w:pPr>
        <w:keepNext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84B86" w:rsidRPr="00E933E4" w:rsidRDefault="00484B86" w:rsidP="00484B86">
      <w:pPr>
        <w:keepNext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33E4">
        <w:rPr>
          <w:rFonts w:ascii="Times New Roman" w:eastAsia="Times New Roman" w:hAnsi="Times New Roman" w:cs="Times New Roman"/>
          <w:sz w:val="24"/>
          <w:szCs w:val="24"/>
        </w:rPr>
        <w:t>Определение может быть обжаловано.</w:t>
      </w:r>
    </w:p>
    <w:p w:rsidR="00484B86" w:rsidRDefault="00484B86" w:rsidP="00484B8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B86" w:rsidRPr="00161DBE" w:rsidRDefault="00484B86" w:rsidP="00484B8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DBE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484B86" w:rsidRPr="00161DBE" w:rsidRDefault="00484B86" w:rsidP="00484B8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161DBE">
        <w:rPr>
          <w:rFonts w:ascii="Times New Roman" w:hAnsi="Times New Roman" w:cs="Times New Roman"/>
          <w:b/>
          <w:sz w:val="24"/>
          <w:szCs w:val="24"/>
        </w:rPr>
        <w:t>Приднестровской</w:t>
      </w:r>
      <w:r w:rsidR="00161DBE">
        <w:rPr>
          <w:rFonts w:ascii="Times New Roman" w:hAnsi="Times New Roman" w:cs="Times New Roman"/>
          <w:b/>
          <w:sz w:val="24"/>
          <w:szCs w:val="24"/>
        </w:rPr>
        <w:t xml:space="preserve"> Молдавской Республики   </w:t>
      </w:r>
      <w:r w:rsidRPr="00161DBE">
        <w:rPr>
          <w:rFonts w:ascii="Times New Roman" w:hAnsi="Times New Roman" w:cs="Times New Roman"/>
          <w:b/>
          <w:sz w:val="24"/>
          <w:szCs w:val="24"/>
        </w:rPr>
        <w:t xml:space="preserve">                         И. П. </w:t>
      </w:r>
      <w:proofErr w:type="spellStart"/>
      <w:r w:rsidRPr="00161DBE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161D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4B86" w:rsidRDefault="00484B86"/>
    <w:sectPr w:rsidR="00484B86" w:rsidSect="00161DBE">
      <w:footerReference w:type="default" r:id="rId7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2C4" w:rsidRDefault="000642C4" w:rsidP="000642C4">
      <w:pPr>
        <w:spacing w:after="0" w:line="240" w:lineRule="auto"/>
      </w:pPr>
      <w:r>
        <w:separator/>
      </w:r>
    </w:p>
  </w:endnote>
  <w:endnote w:type="continuationSeparator" w:id="1">
    <w:p w:rsidR="000642C4" w:rsidRDefault="000642C4" w:rsidP="0006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48309"/>
      <w:docPartObj>
        <w:docPartGallery w:val="Page Numbers (Bottom of Page)"/>
        <w:docPartUnique/>
      </w:docPartObj>
    </w:sdtPr>
    <w:sdtContent>
      <w:p w:rsidR="000642C4" w:rsidRDefault="00BF2DFD">
        <w:pPr>
          <w:pStyle w:val="a5"/>
          <w:jc w:val="center"/>
        </w:pPr>
        <w:fldSimple w:instr=" PAGE   \* MERGEFORMAT ">
          <w:r w:rsidR="00161DBE">
            <w:rPr>
              <w:noProof/>
            </w:rPr>
            <w:t>1</w:t>
          </w:r>
        </w:fldSimple>
      </w:p>
    </w:sdtContent>
  </w:sdt>
  <w:p w:rsidR="000642C4" w:rsidRDefault="000642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2C4" w:rsidRDefault="000642C4" w:rsidP="000642C4">
      <w:pPr>
        <w:spacing w:after="0" w:line="240" w:lineRule="auto"/>
      </w:pPr>
      <w:r>
        <w:separator/>
      </w:r>
    </w:p>
  </w:footnote>
  <w:footnote w:type="continuationSeparator" w:id="1">
    <w:p w:rsidR="000642C4" w:rsidRDefault="000642C4" w:rsidP="000642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4B86"/>
    <w:rsid w:val="000642C4"/>
    <w:rsid w:val="00161DBE"/>
    <w:rsid w:val="00484B86"/>
    <w:rsid w:val="00574CAE"/>
    <w:rsid w:val="006976DF"/>
    <w:rsid w:val="00BF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4B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84B86"/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a0"/>
    <w:rsid w:val="00484B86"/>
  </w:style>
  <w:style w:type="character" w:customStyle="1" w:styleId="FontStyle14">
    <w:name w:val="Font Style14"/>
    <w:rsid w:val="00484B86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484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84B86"/>
    <w:rPr>
      <w:rFonts w:ascii="Courier New" w:eastAsia="Times New Roman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42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2020-09-15T09:10:00Z</dcterms:created>
  <dcterms:modified xsi:type="dcterms:W3CDTF">2020-09-15T10:56:00Z</dcterms:modified>
</cp:coreProperties>
</file>