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917C61" w:rsidP="004F7B6D">
      <w:pPr>
        <w:jc w:val="center"/>
        <w:rPr>
          <w:b/>
          <w:color w:val="5F5F5F"/>
          <w:sz w:val="18"/>
          <w:szCs w:val="18"/>
        </w:rPr>
      </w:pPr>
      <w:r>
        <w:rPr>
          <w:rFonts w:cs="Tunga"/>
          <w:b/>
          <w:noProof/>
          <w:color w:val="5F5F5F"/>
          <w:sz w:val="18"/>
          <w:szCs w:val="18"/>
        </w:rPr>
        <w:drawing>
          <wp:anchor distT="0" distB="0" distL="114300" distR="114300" simplePos="0" relativeHeight="251658752"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proofErr w:type="gramStart"/>
      <w:r w:rsidRPr="001823B7">
        <w:rPr>
          <w:sz w:val="20"/>
          <w:szCs w:val="20"/>
        </w:rPr>
        <w:t>.Т</w:t>
      </w:r>
      <w:proofErr w:type="gramEnd"/>
      <w:r w:rsidRPr="001823B7">
        <w:rPr>
          <w:sz w:val="20"/>
          <w:szCs w:val="20"/>
        </w:rPr>
        <w:t>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proofErr w:type="spellStart"/>
      <w:r w:rsidR="002D2926" w:rsidRPr="002D2926">
        <w:rPr>
          <w:sz w:val="20"/>
          <w:szCs w:val="20"/>
        </w:rPr>
        <w:t>www</w:t>
      </w:r>
      <w:proofErr w:type="spellEnd"/>
      <w:r w:rsidR="002D2926" w:rsidRPr="002D2926">
        <w:rPr>
          <w:sz w:val="20"/>
          <w:szCs w:val="20"/>
        </w:rPr>
        <w:t>.</w:t>
      </w:r>
      <w:proofErr w:type="spellStart"/>
      <w:r w:rsidR="002D2926" w:rsidRPr="002D2926">
        <w:rPr>
          <w:sz w:val="20"/>
          <w:szCs w:val="20"/>
          <w:lang w:val="en-US"/>
        </w:rPr>
        <w:t>arbitr</w:t>
      </w:r>
      <w:proofErr w:type="spellEnd"/>
      <w:r w:rsidR="00444EB1">
        <w:rPr>
          <w:sz w:val="20"/>
          <w:szCs w:val="20"/>
        </w:rPr>
        <w:t>.</w:t>
      </w:r>
      <w:proofErr w:type="spellStart"/>
      <w:r w:rsidR="00444EB1">
        <w:rPr>
          <w:sz w:val="20"/>
          <w:szCs w:val="20"/>
        </w:rPr>
        <w:t>gospmr</w:t>
      </w:r>
      <w:proofErr w:type="spellEnd"/>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7620C7"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 xml:space="preserve">О </w:t>
      </w:r>
      <w:proofErr w:type="gramStart"/>
      <w:r>
        <w:rPr>
          <w:b/>
        </w:rPr>
        <w:t>П</w:t>
      </w:r>
      <w:proofErr w:type="gramEnd"/>
      <w:r>
        <w:rPr>
          <w:b/>
        </w:rPr>
        <w:t xml:space="preserve"> Р Е Д Е Л Е Н И Е</w:t>
      </w:r>
    </w:p>
    <w:p w:rsidR="00E90DB1" w:rsidRDefault="005F239A" w:rsidP="00A032B6">
      <w:pPr>
        <w:ind w:left="-181"/>
        <w:jc w:val="center"/>
        <w:rPr>
          <w:b/>
        </w:rPr>
      </w:pPr>
      <w:r>
        <w:rPr>
          <w:b/>
        </w:rPr>
        <w:t>об оставлении</w:t>
      </w:r>
      <w:r w:rsidR="00510F27">
        <w:rPr>
          <w:b/>
        </w:rPr>
        <w:t xml:space="preserve"> искового</w:t>
      </w:r>
      <w:r>
        <w:rPr>
          <w:b/>
        </w:rPr>
        <w:t xml:space="preserve"> заявления без движения</w:t>
      </w:r>
    </w:p>
    <w:p w:rsidR="00C121BA" w:rsidRDefault="00C121BA" w:rsidP="00A032B6">
      <w:pPr>
        <w:ind w:left="-181"/>
        <w:jc w:val="center"/>
        <w:rPr>
          <w:b/>
        </w:rPr>
      </w:pP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C1131C" w:rsidTr="00435D1A">
        <w:trPr>
          <w:trHeight w:val="259"/>
        </w:trPr>
        <w:tc>
          <w:tcPr>
            <w:tcW w:w="4952" w:type="dxa"/>
            <w:gridSpan w:val="7"/>
          </w:tcPr>
          <w:p w:rsidR="00435D1A" w:rsidRPr="00C1131C" w:rsidRDefault="00435D1A" w:rsidP="00510F27">
            <w:pPr>
              <w:rPr>
                <w:rFonts w:eastAsia="Calibri"/>
                <w:bCs/>
                <w:sz w:val="20"/>
                <w:szCs w:val="20"/>
              </w:rPr>
            </w:pPr>
            <w:r w:rsidRPr="00C1131C">
              <w:rPr>
                <w:rFonts w:eastAsia="Calibri"/>
                <w:sz w:val="20"/>
                <w:szCs w:val="20"/>
              </w:rPr>
              <w:t>«</w:t>
            </w:r>
            <w:r w:rsidR="00C25D86">
              <w:rPr>
                <w:rFonts w:eastAsia="Calibri"/>
                <w:sz w:val="20"/>
                <w:szCs w:val="20"/>
                <w:u w:val="single"/>
              </w:rPr>
              <w:t xml:space="preserve">   </w:t>
            </w:r>
            <w:r w:rsidR="00011658">
              <w:rPr>
                <w:rFonts w:eastAsia="Calibri"/>
                <w:sz w:val="20"/>
                <w:szCs w:val="20"/>
                <w:u w:val="single"/>
              </w:rPr>
              <w:t>2</w:t>
            </w:r>
            <w:r w:rsidR="00510F27">
              <w:rPr>
                <w:rFonts w:eastAsia="Calibri"/>
                <w:sz w:val="20"/>
                <w:szCs w:val="20"/>
                <w:u w:val="single"/>
              </w:rPr>
              <w:t>0</w:t>
            </w:r>
            <w:r w:rsidR="00C25D86">
              <w:rPr>
                <w:rFonts w:eastAsia="Calibri"/>
                <w:sz w:val="20"/>
                <w:szCs w:val="20"/>
                <w:u w:val="single"/>
              </w:rPr>
              <w:t xml:space="preserve">   </w:t>
            </w:r>
            <w:r w:rsidRPr="00C1131C">
              <w:rPr>
                <w:rFonts w:eastAsia="Calibri"/>
                <w:sz w:val="20"/>
                <w:szCs w:val="20"/>
              </w:rPr>
              <w:t>»</w:t>
            </w:r>
            <w:r w:rsidR="00C121BA">
              <w:rPr>
                <w:rFonts w:eastAsia="Calibri"/>
                <w:sz w:val="20"/>
                <w:szCs w:val="20"/>
                <w:u w:val="single"/>
              </w:rPr>
              <w:t xml:space="preserve">   </w:t>
            </w:r>
            <w:r w:rsidR="00C25D86">
              <w:rPr>
                <w:rFonts w:eastAsia="Calibri"/>
                <w:sz w:val="20"/>
                <w:szCs w:val="20"/>
                <w:u w:val="single"/>
              </w:rPr>
              <w:t xml:space="preserve">  </w:t>
            </w:r>
            <w:r w:rsidR="00510F27">
              <w:rPr>
                <w:rFonts w:eastAsia="Calibri"/>
                <w:sz w:val="20"/>
                <w:szCs w:val="20"/>
                <w:u w:val="single"/>
              </w:rPr>
              <w:t>июля</w:t>
            </w:r>
            <w:r w:rsidR="00011658">
              <w:rPr>
                <w:rFonts w:eastAsia="Calibri"/>
                <w:sz w:val="20"/>
                <w:szCs w:val="20"/>
                <w:u w:val="single"/>
              </w:rPr>
              <w:t xml:space="preserve"> </w:t>
            </w:r>
            <w:r w:rsidR="00C25D86">
              <w:rPr>
                <w:rFonts w:eastAsia="Calibri"/>
                <w:sz w:val="20"/>
                <w:szCs w:val="20"/>
                <w:u w:val="single"/>
              </w:rPr>
              <w:t xml:space="preserve">     20</w:t>
            </w:r>
            <w:r w:rsidR="00011658">
              <w:rPr>
                <w:rFonts w:eastAsia="Calibri"/>
                <w:sz w:val="20"/>
                <w:szCs w:val="20"/>
                <w:u w:val="single"/>
              </w:rPr>
              <w:t>20</w:t>
            </w:r>
            <w:r w:rsidR="00C25D86">
              <w:rPr>
                <w:rFonts w:eastAsia="Calibri"/>
                <w:sz w:val="20"/>
                <w:szCs w:val="20"/>
                <w:u w:val="single"/>
              </w:rPr>
              <w:t xml:space="preserve"> г. </w:t>
            </w:r>
          </w:p>
        </w:tc>
        <w:tc>
          <w:tcPr>
            <w:tcW w:w="4971" w:type="dxa"/>
            <w:gridSpan w:val="3"/>
          </w:tcPr>
          <w:p w:rsidR="00435D1A" w:rsidRPr="00C1131C" w:rsidRDefault="00435D1A" w:rsidP="00510F27">
            <w:pPr>
              <w:rPr>
                <w:rFonts w:eastAsia="Calibri"/>
                <w:b/>
                <w:bCs/>
                <w:sz w:val="20"/>
                <w:szCs w:val="20"/>
              </w:rPr>
            </w:pPr>
            <w:r w:rsidRPr="00C1131C">
              <w:rPr>
                <w:rFonts w:eastAsia="Calibri"/>
                <w:bCs/>
                <w:sz w:val="20"/>
                <w:szCs w:val="20"/>
              </w:rPr>
              <w:t xml:space="preserve">              </w:t>
            </w:r>
            <w:r w:rsidR="00C25D86">
              <w:rPr>
                <w:rFonts w:eastAsia="Calibri"/>
                <w:bCs/>
                <w:sz w:val="20"/>
                <w:szCs w:val="20"/>
              </w:rPr>
              <w:t xml:space="preserve">          </w:t>
            </w:r>
            <w:r w:rsidRPr="00C1131C">
              <w:rPr>
                <w:rFonts w:eastAsia="Calibri"/>
                <w:bCs/>
                <w:sz w:val="20"/>
                <w:szCs w:val="20"/>
              </w:rPr>
              <w:t xml:space="preserve">              Дело </w:t>
            </w:r>
            <w:r w:rsidRPr="00C1131C">
              <w:rPr>
                <w:rFonts w:eastAsia="Calibri"/>
                <w:sz w:val="20"/>
                <w:szCs w:val="20"/>
              </w:rPr>
              <w:t xml:space="preserve">№  </w:t>
            </w:r>
            <w:r w:rsidR="00C121BA">
              <w:rPr>
                <w:rFonts w:eastAsia="Calibri"/>
                <w:sz w:val="20"/>
                <w:szCs w:val="20"/>
                <w:u w:val="single"/>
              </w:rPr>
              <w:t xml:space="preserve">   </w:t>
            </w:r>
            <w:r w:rsidR="00011658">
              <w:rPr>
                <w:rFonts w:eastAsia="Calibri"/>
                <w:sz w:val="20"/>
                <w:szCs w:val="20"/>
                <w:u w:val="single"/>
              </w:rPr>
              <w:t>4</w:t>
            </w:r>
            <w:r w:rsidR="00510F27">
              <w:rPr>
                <w:rFonts w:eastAsia="Calibri"/>
                <w:sz w:val="20"/>
                <w:szCs w:val="20"/>
                <w:u w:val="single"/>
              </w:rPr>
              <w:t>21</w:t>
            </w:r>
            <w:r w:rsidR="00C25D86">
              <w:rPr>
                <w:rFonts w:eastAsia="Calibri"/>
                <w:sz w:val="20"/>
                <w:szCs w:val="20"/>
                <w:u w:val="single"/>
              </w:rPr>
              <w:t>/</w:t>
            </w:r>
            <w:r w:rsidR="00011658">
              <w:rPr>
                <w:rFonts w:eastAsia="Calibri"/>
                <w:sz w:val="20"/>
                <w:szCs w:val="20"/>
                <w:u w:val="single"/>
              </w:rPr>
              <w:t>20</w:t>
            </w:r>
            <w:r w:rsidR="00C25D86">
              <w:rPr>
                <w:rFonts w:eastAsia="Calibri"/>
                <w:sz w:val="20"/>
                <w:szCs w:val="20"/>
                <w:u w:val="single"/>
              </w:rPr>
              <w:t xml:space="preserve">-06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C25D86" w:rsidRDefault="00C25D86" w:rsidP="00C25D86">
      <w:pPr>
        <w:ind w:firstLine="720"/>
        <w:jc w:val="both"/>
      </w:pPr>
    </w:p>
    <w:p w:rsidR="00C121BA" w:rsidRDefault="00C121BA" w:rsidP="00510F27">
      <w:pPr>
        <w:tabs>
          <w:tab w:val="left" w:pos="567"/>
        </w:tabs>
        <w:ind w:firstLine="567"/>
        <w:jc w:val="both"/>
        <w:outlineLvl w:val="0"/>
      </w:pPr>
      <w:proofErr w:type="gramStart"/>
      <w:r w:rsidRPr="00416A43">
        <w:t xml:space="preserve">Арбитражный суд Приднестровской Молдавской Республики в составе судьи </w:t>
      </w:r>
      <w:r w:rsidRPr="00416A43">
        <w:br/>
        <w:t xml:space="preserve">Т. И. </w:t>
      </w:r>
      <w:proofErr w:type="spellStart"/>
      <w:r w:rsidRPr="00416A43">
        <w:t>Цыганаш</w:t>
      </w:r>
      <w:proofErr w:type="spellEnd"/>
      <w:r w:rsidRPr="00416A43">
        <w:t>, рассм</w:t>
      </w:r>
      <w:r w:rsidR="00802FBF">
        <w:t>отрев</w:t>
      </w:r>
      <w:r w:rsidRPr="00416A43">
        <w:t xml:space="preserve"> вопрос о принятии к производству</w:t>
      </w:r>
      <w:r w:rsidR="00510F27">
        <w:t xml:space="preserve"> искового </w:t>
      </w:r>
      <w:r w:rsidRPr="00416A43">
        <w:t xml:space="preserve">заявления </w:t>
      </w:r>
      <w:r w:rsidR="00510F27" w:rsidRPr="00510F27">
        <w:t>«</w:t>
      </w:r>
      <w:r w:rsidR="00510F27" w:rsidRPr="00510F27">
        <w:rPr>
          <w:lang w:val="en-US"/>
        </w:rPr>
        <w:t>Augur</w:t>
      </w:r>
      <w:r w:rsidR="00510F27" w:rsidRPr="00510F27">
        <w:t xml:space="preserve"> </w:t>
      </w:r>
      <w:proofErr w:type="spellStart"/>
      <w:r w:rsidR="00510F27" w:rsidRPr="00510F27">
        <w:rPr>
          <w:lang w:val="en-US"/>
        </w:rPr>
        <w:t>Perla</w:t>
      </w:r>
      <w:proofErr w:type="spellEnd"/>
      <w:r w:rsidR="00510F27" w:rsidRPr="00510F27">
        <w:t xml:space="preserve">» </w:t>
      </w:r>
      <w:r w:rsidR="00510F27" w:rsidRPr="00510F27">
        <w:rPr>
          <w:lang w:val="en-US"/>
        </w:rPr>
        <w:t>SA</w:t>
      </w:r>
      <w:r w:rsidRPr="008321C0">
        <w:t xml:space="preserve"> </w:t>
      </w:r>
      <w:r w:rsidR="00BF0B89">
        <w:t xml:space="preserve">(адрес направления почтовой корреспонденции: г. Тирасполь, ул. Комсомольская, д.8/3, кв.92) </w:t>
      </w:r>
      <w:r w:rsidR="00510F27">
        <w:t>к обществу с ограниченной ответственностью «</w:t>
      </w:r>
      <w:proofErr w:type="spellStart"/>
      <w:r w:rsidR="00510F27">
        <w:t>КаБаРеТ</w:t>
      </w:r>
      <w:proofErr w:type="spellEnd"/>
      <w:r w:rsidR="00510F27">
        <w:t xml:space="preserve">» </w:t>
      </w:r>
      <w:r w:rsidR="00826DEA" w:rsidRPr="008321C0">
        <w:t xml:space="preserve">о </w:t>
      </w:r>
      <w:r w:rsidR="00541365">
        <w:t>взыскании долга и процентов за неисполнение денежного обязательства</w:t>
      </w:r>
      <w:r>
        <w:t>, и изучив приложенные к нему документы,</w:t>
      </w:r>
      <w:proofErr w:type="gramEnd"/>
    </w:p>
    <w:p w:rsidR="00C121BA" w:rsidRPr="00416A43" w:rsidRDefault="00C121BA" w:rsidP="00C121BA">
      <w:pPr>
        <w:ind w:firstLine="720"/>
        <w:jc w:val="both"/>
        <w:rPr>
          <w:b/>
        </w:rPr>
      </w:pPr>
    </w:p>
    <w:p w:rsidR="00C121BA" w:rsidRDefault="00C121BA" w:rsidP="008321C0">
      <w:pPr>
        <w:jc w:val="center"/>
        <w:rPr>
          <w:b/>
        </w:rPr>
      </w:pPr>
      <w:r w:rsidRPr="00416A43">
        <w:rPr>
          <w:b/>
        </w:rPr>
        <w:t>У С Т А Н О В И Л:</w:t>
      </w:r>
    </w:p>
    <w:p w:rsidR="006563D2" w:rsidRDefault="006563D2" w:rsidP="008321C0">
      <w:pPr>
        <w:jc w:val="center"/>
        <w:rPr>
          <w:b/>
        </w:rPr>
      </w:pPr>
    </w:p>
    <w:p w:rsidR="004C4E5E" w:rsidRPr="001B3BC4" w:rsidRDefault="004C4E5E" w:rsidP="004C4E5E">
      <w:pPr>
        <w:jc w:val="both"/>
      </w:pPr>
      <w:r w:rsidRPr="001B3BC4">
        <w:t>несоответствие поданного заявления требованиям Арбитражного процессуального кодекса Приднестровской Молдавской Республики (далее - АПК ПМР).</w:t>
      </w:r>
    </w:p>
    <w:p w:rsidR="004C4E5E" w:rsidRPr="001B3BC4" w:rsidRDefault="004C4E5E" w:rsidP="004C4E5E">
      <w:pPr>
        <w:ind w:firstLine="567"/>
        <w:jc w:val="both"/>
      </w:pPr>
      <w:r w:rsidRPr="001B3BC4">
        <w:t xml:space="preserve">В силу пункта 1 статьи 95 АПК ПМР судья обязан принять к производству арбитражного суда исковое заявление, поданное соблюдением требований, предъявляемых Арбитражным процессуальным кодексом к его форме и содержанию. Изучив содержание искового заявления, требования к которому определены статьей 91 АПК ПМР, а также приложенные к нему документы на соответствие статье 93 АПК ПМР, судом установлены следующие несоответствия процессуального закона: </w:t>
      </w:r>
    </w:p>
    <w:p w:rsidR="004C4E5E" w:rsidRDefault="004C4E5E" w:rsidP="004C4E5E">
      <w:pPr>
        <w:ind w:firstLine="567"/>
        <w:jc w:val="both"/>
      </w:pPr>
      <w:r w:rsidRPr="001B3BC4">
        <w:t xml:space="preserve">1. Подпунктом </w:t>
      </w:r>
      <w:r>
        <w:t>б</w:t>
      </w:r>
      <w:r w:rsidRPr="001B3BC4">
        <w:t xml:space="preserve">) пункта 2 статьи 91 АПК ПМР установлено обязательное указание на наименование </w:t>
      </w:r>
      <w:r>
        <w:t>истца</w:t>
      </w:r>
      <w:r w:rsidRPr="001B3BC4">
        <w:t xml:space="preserve"> </w:t>
      </w:r>
      <w:r>
        <w:t xml:space="preserve">и его место нахождения. </w:t>
      </w:r>
      <w:r w:rsidRPr="001B3BC4">
        <w:t>Согласно пункту 1 статьи 8 АПК ПМР в корреспонденции со статьей 21 АПК ПМР судопроизводство в арбитражном суде ведется на русском языке</w:t>
      </w:r>
      <w:r>
        <w:t>.</w:t>
      </w:r>
      <w:r w:rsidRPr="001B3BC4">
        <w:t xml:space="preserve"> </w:t>
      </w:r>
      <w:r>
        <w:t xml:space="preserve">В нарушение приведенных процессуальных норм истцом не указано наименование истца и его </w:t>
      </w:r>
      <w:proofErr w:type="gramStart"/>
      <w:r>
        <w:t>место нахождение</w:t>
      </w:r>
      <w:proofErr w:type="gramEnd"/>
      <w:r>
        <w:t xml:space="preserve"> на официальном языке, на котором ведется судопроизводство в Арбитражном суде Приднестровской Молдавской Республики.</w:t>
      </w:r>
    </w:p>
    <w:p w:rsidR="008910B8" w:rsidRDefault="004C4E5E" w:rsidP="004C4E5E">
      <w:pPr>
        <w:ind w:firstLine="567"/>
        <w:jc w:val="both"/>
      </w:pPr>
      <w:r w:rsidRPr="001B3BC4">
        <w:t xml:space="preserve">2. В </w:t>
      </w:r>
      <w:r>
        <w:t>нарушение</w:t>
      </w:r>
      <w:r w:rsidR="008910B8">
        <w:t xml:space="preserve"> подпункта г) пункта 2 статьи 91 АПК ПМР в</w:t>
      </w:r>
      <w:r w:rsidR="008910B8" w:rsidRPr="008910B8">
        <w:t xml:space="preserve"> </w:t>
      </w:r>
      <w:r w:rsidR="008910B8" w:rsidRPr="001B3BC4">
        <w:t>корреспонденции со статьями 49, 52</w:t>
      </w:r>
      <w:r w:rsidR="008910B8">
        <w:t>, 93</w:t>
      </w:r>
      <w:r w:rsidR="008910B8" w:rsidRPr="001B3BC4">
        <w:t xml:space="preserve"> АПК ПМР</w:t>
      </w:r>
      <w:r w:rsidR="008910B8">
        <w:t xml:space="preserve"> истцом к исковому заявлению приложены документы, подтверждающие обстоятельства, изложенные в иске, в виде доказательств:</w:t>
      </w:r>
    </w:p>
    <w:p w:rsidR="008910B8" w:rsidRDefault="00C82B53" w:rsidP="004C4E5E">
      <w:pPr>
        <w:ind w:firstLine="567"/>
        <w:jc w:val="both"/>
      </w:pPr>
      <w:proofErr w:type="gramStart"/>
      <w:r>
        <w:t>а)</w:t>
      </w:r>
      <w:r w:rsidR="008910B8">
        <w:t xml:space="preserve"> </w:t>
      </w:r>
      <w:r w:rsidR="004C4E5E" w:rsidRPr="001B3BC4">
        <w:t>изготовленны</w:t>
      </w:r>
      <w:r w:rsidR="008910B8">
        <w:t>е</w:t>
      </w:r>
      <w:r w:rsidR="004C4E5E" w:rsidRPr="001B3BC4">
        <w:t xml:space="preserve"> на языке, который не  используется в судопроизводстве Приднестровской Молдавской Республики</w:t>
      </w:r>
      <w:r w:rsidR="008910B8">
        <w:t>;</w:t>
      </w:r>
      <w:proofErr w:type="gramEnd"/>
    </w:p>
    <w:p w:rsidR="00C82B53" w:rsidRDefault="00C82B53" w:rsidP="00C82B53">
      <w:pPr>
        <w:ind w:firstLine="567"/>
        <w:jc w:val="both"/>
      </w:pPr>
      <w:r>
        <w:t>б)</w:t>
      </w:r>
      <w:r w:rsidR="008910B8">
        <w:t xml:space="preserve"> </w:t>
      </w:r>
      <w:proofErr w:type="gramStart"/>
      <w:r w:rsidR="008910B8">
        <w:t>в</w:t>
      </w:r>
      <w:proofErr w:type="gramEnd"/>
      <w:r w:rsidR="008910B8">
        <w:t xml:space="preserve"> </w:t>
      </w:r>
      <w:proofErr w:type="gramStart"/>
      <w:r w:rsidR="008910B8">
        <w:t>ненадлежащим</w:t>
      </w:r>
      <w:proofErr w:type="gramEnd"/>
      <w:r w:rsidR="008910B8">
        <w:t xml:space="preserve"> образом заверенных копиях</w:t>
      </w:r>
      <w:r w:rsidR="00626F47">
        <w:t>.</w:t>
      </w:r>
      <w:r w:rsidR="00626F47" w:rsidRPr="00626F47">
        <w:t xml:space="preserve"> </w:t>
      </w:r>
      <w:r w:rsidR="00626F47" w:rsidRPr="001B3BC4">
        <w:t xml:space="preserve">К надлежащим </w:t>
      </w:r>
      <w:proofErr w:type="gramStart"/>
      <w:r w:rsidR="00626F47" w:rsidRPr="001B3BC4">
        <w:t>образом</w:t>
      </w:r>
      <w:proofErr w:type="gramEnd"/>
      <w:r w:rsidR="00626F47" w:rsidRPr="001B3BC4">
        <w:t xml:space="preserve"> заверенным копиям относятся те, идентичность которых удостоверена нотариально либо заверена </w:t>
      </w:r>
      <w:r w:rsidR="00626F47" w:rsidRPr="001B3BC4">
        <w:lastRenderedPageBreak/>
        <w:t>подписью компетентного должностного лица, от которого исходит соответствующий документ</w:t>
      </w:r>
      <w:r w:rsidR="00626F47">
        <w:t>, с учетом требований о языке судопроизводства</w:t>
      </w:r>
      <w:r>
        <w:t>;</w:t>
      </w:r>
    </w:p>
    <w:p w:rsidR="00626F47" w:rsidRPr="001B3BC4" w:rsidRDefault="00C82B53" w:rsidP="00626F47">
      <w:pPr>
        <w:ind w:firstLine="708"/>
        <w:jc w:val="both"/>
      </w:pPr>
      <w:r>
        <w:t>в) в обоснование требования о взыскании части неоплаченного долга, не представлено доказательств оплаты части долга ответчиком</w:t>
      </w:r>
      <w:r w:rsidR="00626F47">
        <w:t>.</w:t>
      </w:r>
    </w:p>
    <w:p w:rsidR="008910B8" w:rsidRDefault="008910B8" w:rsidP="004C4E5E">
      <w:pPr>
        <w:ind w:firstLine="567"/>
        <w:jc w:val="both"/>
      </w:pPr>
      <w:r>
        <w:t xml:space="preserve">3. Подпунктом ж) пункта 2 статьи 91 АПК ПМР определено наличие в иске цены иска. Вместе с тем указанная цена иска не соответствует заявленным требованиям. </w:t>
      </w:r>
    </w:p>
    <w:p w:rsidR="008910B8" w:rsidRDefault="008910B8" w:rsidP="004C4E5E">
      <w:pPr>
        <w:ind w:firstLine="567"/>
        <w:jc w:val="both"/>
      </w:pPr>
      <w:r>
        <w:t xml:space="preserve">4. Обязательным условием в силу подпункта </w:t>
      </w:r>
      <w:proofErr w:type="spellStart"/>
      <w:r>
        <w:t>з</w:t>
      </w:r>
      <w:proofErr w:type="spellEnd"/>
      <w:r>
        <w:t>) пункта 2 статьи 91 АПК ПМР является наличие в иске расчета взыскиваемой или оспариваемой денежной суммы</w:t>
      </w:r>
      <w:r w:rsidR="00552065">
        <w:t>. В нарушение приведенной нормы истцом</w:t>
      </w:r>
      <w:r>
        <w:t xml:space="preserve"> не представлен</w:t>
      </w:r>
      <w:r w:rsidR="00552065">
        <w:t xml:space="preserve"> расчет взыскиваемой суммы</w:t>
      </w:r>
      <w:r>
        <w:t>.</w:t>
      </w:r>
    </w:p>
    <w:p w:rsidR="00626F47" w:rsidRDefault="00626F47" w:rsidP="004C4E5E">
      <w:pPr>
        <w:ind w:firstLine="567"/>
        <w:jc w:val="both"/>
      </w:pPr>
      <w:r>
        <w:t>5. Примененная истцом ставка рефинансирования ПР</w:t>
      </w:r>
      <w:r w:rsidR="00552065">
        <w:t>Б</w:t>
      </w:r>
      <w:r>
        <w:t xml:space="preserve"> в размере 7% при расчете процентов за неисполнение денежного обязательства в соответствии со статьей 412 Гражданского кодекса ПМР не обоснована соответствующим доказательством, свидетельствующим о наличии указанного размера ставки. </w:t>
      </w:r>
    </w:p>
    <w:p w:rsidR="00257178" w:rsidRPr="00B66737" w:rsidRDefault="00257178" w:rsidP="00257178">
      <w:pPr>
        <w:ind w:firstLine="720"/>
        <w:jc w:val="both"/>
      </w:pPr>
      <w:proofErr w:type="gramStart"/>
      <w:r w:rsidRPr="00B66737">
        <w:t>Частью первой статьи 96-1 АПК ПМР установлено, что арбитражный суд, установив при рассмотрении вопроса о принятии искового заявления к производству, что оно подано с нарушением требований, установленных статьями 91, 92 и 93 Кодекса, либо с нарушением иных требований, установленных Кодексом к исковому заявлению (заявлению), выносит определение об оставлении заявления без движения.</w:t>
      </w:r>
      <w:proofErr w:type="gramEnd"/>
      <w:r w:rsidRPr="00B66737">
        <w:t xml:space="preserve"> Установленные судом нарушения процессуального закона являются основанием для оставления поданного заявления без движения.</w:t>
      </w:r>
    </w:p>
    <w:p w:rsidR="00257178" w:rsidRPr="00B66737" w:rsidRDefault="00257178" w:rsidP="00257178">
      <w:pPr>
        <w:ind w:firstLine="709"/>
        <w:jc w:val="both"/>
      </w:pPr>
      <w:r w:rsidRPr="00B66737">
        <w:t>Арбитражный суд Приднестровской Молдавской Республики, руководствуясь статьями 96-1, 128</w:t>
      </w:r>
      <w:r w:rsidR="00857EA8">
        <w:t>, 130-11</w:t>
      </w:r>
      <w:r w:rsidRPr="00B66737">
        <w:t xml:space="preserve"> АПК ПМР,</w:t>
      </w:r>
    </w:p>
    <w:p w:rsidR="00C121BA" w:rsidRPr="00416A43" w:rsidRDefault="00C121BA" w:rsidP="00C121BA">
      <w:pPr>
        <w:ind w:firstLine="720"/>
        <w:jc w:val="center"/>
        <w:outlineLvl w:val="0"/>
        <w:rPr>
          <w:b/>
        </w:rPr>
      </w:pPr>
    </w:p>
    <w:p w:rsidR="00C121BA" w:rsidRPr="00416A43" w:rsidRDefault="00C121BA" w:rsidP="00C121BA">
      <w:pPr>
        <w:ind w:firstLine="720"/>
        <w:jc w:val="center"/>
        <w:outlineLvl w:val="0"/>
        <w:rPr>
          <w:b/>
        </w:rPr>
      </w:pPr>
      <w:r w:rsidRPr="00416A43">
        <w:rPr>
          <w:b/>
        </w:rPr>
        <w:t xml:space="preserve">О </w:t>
      </w:r>
      <w:proofErr w:type="gramStart"/>
      <w:r w:rsidRPr="00416A43">
        <w:rPr>
          <w:b/>
        </w:rPr>
        <w:t>П</w:t>
      </w:r>
      <w:proofErr w:type="gramEnd"/>
      <w:r w:rsidRPr="00416A43">
        <w:rPr>
          <w:b/>
        </w:rPr>
        <w:t xml:space="preserve"> Р Е Д Е Л И Л:</w:t>
      </w:r>
    </w:p>
    <w:p w:rsidR="00C121BA" w:rsidRPr="00416A43" w:rsidRDefault="00C121BA" w:rsidP="00C121BA">
      <w:pPr>
        <w:ind w:firstLine="720"/>
        <w:jc w:val="center"/>
        <w:outlineLvl w:val="0"/>
        <w:rPr>
          <w:b/>
        </w:rPr>
      </w:pPr>
    </w:p>
    <w:p w:rsidR="00C121BA" w:rsidRPr="00416A43" w:rsidRDefault="00552065" w:rsidP="00C121BA">
      <w:pPr>
        <w:numPr>
          <w:ilvl w:val="0"/>
          <w:numId w:val="5"/>
        </w:numPr>
        <w:ind w:left="0" w:firstLine="709"/>
        <w:jc w:val="both"/>
      </w:pPr>
      <w:r>
        <w:t>Исковое з</w:t>
      </w:r>
      <w:r w:rsidR="00C121BA" w:rsidRPr="00416A43">
        <w:t xml:space="preserve">аявление </w:t>
      </w:r>
      <w:r w:rsidR="00626F47" w:rsidRPr="00510F27">
        <w:t>«</w:t>
      </w:r>
      <w:r w:rsidR="00626F47" w:rsidRPr="00510F27">
        <w:rPr>
          <w:lang w:val="en-US"/>
        </w:rPr>
        <w:t>Augur</w:t>
      </w:r>
      <w:r w:rsidR="00626F47" w:rsidRPr="00510F27">
        <w:t xml:space="preserve"> </w:t>
      </w:r>
      <w:proofErr w:type="spellStart"/>
      <w:r w:rsidR="00626F47" w:rsidRPr="00510F27">
        <w:rPr>
          <w:lang w:val="en-US"/>
        </w:rPr>
        <w:t>Perla</w:t>
      </w:r>
      <w:proofErr w:type="spellEnd"/>
      <w:r w:rsidR="00626F47" w:rsidRPr="00510F27">
        <w:t xml:space="preserve">» </w:t>
      </w:r>
      <w:r w:rsidR="00626F47" w:rsidRPr="00510F27">
        <w:rPr>
          <w:lang w:val="en-US"/>
        </w:rPr>
        <w:t>SA</w:t>
      </w:r>
      <w:r w:rsidR="00626F47" w:rsidRPr="008321C0">
        <w:t xml:space="preserve"> </w:t>
      </w:r>
      <w:r w:rsidR="00C121BA" w:rsidRPr="00416A43">
        <w:t>оставить без движения.</w:t>
      </w:r>
    </w:p>
    <w:p w:rsidR="00C121BA" w:rsidRPr="00416A43" w:rsidRDefault="00C121BA" w:rsidP="00C121BA">
      <w:pPr>
        <w:numPr>
          <w:ilvl w:val="0"/>
          <w:numId w:val="5"/>
        </w:numPr>
        <w:ind w:left="0" w:firstLine="709"/>
        <w:jc w:val="both"/>
      </w:pPr>
      <w:r w:rsidRPr="00416A43">
        <w:t xml:space="preserve">Предложить </w:t>
      </w:r>
      <w:r w:rsidR="00626F47" w:rsidRPr="00510F27">
        <w:t>«</w:t>
      </w:r>
      <w:r w:rsidR="00626F47" w:rsidRPr="00510F27">
        <w:rPr>
          <w:lang w:val="en-US"/>
        </w:rPr>
        <w:t>Augur</w:t>
      </w:r>
      <w:r w:rsidR="00626F47" w:rsidRPr="00510F27">
        <w:t xml:space="preserve"> </w:t>
      </w:r>
      <w:proofErr w:type="spellStart"/>
      <w:r w:rsidR="00626F47" w:rsidRPr="00510F27">
        <w:rPr>
          <w:lang w:val="en-US"/>
        </w:rPr>
        <w:t>Perla</w:t>
      </w:r>
      <w:proofErr w:type="spellEnd"/>
      <w:r w:rsidR="00626F47" w:rsidRPr="00510F27">
        <w:t xml:space="preserve">» </w:t>
      </w:r>
      <w:r w:rsidR="00626F47" w:rsidRPr="00510F27">
        <w:rPr>
          <w:lang w:val="en-US"/>
        </w:rPr>
        <w:t>SA</w:t>
      </w:r>
      <w:r w:rsidR="00FE61CD">
        <w:t xml:space="preserve"> </w:t>
      </w:r>
      <w:r w:rsidRPr="00416A43">
        <w:t xml:space="preserve">в срок </w:t>
      </w:r>
      <w:r w:rsidRPr="00826DEA">
        <w:rPr>
          <w:b/>
        </w:rPr>
        <w:t xml:space="preserve">до  </w:t>
      </w:r>
      <w:r w:rsidR="00626F47">
        <w:rPr>
          <w:b/>
        </w:rPr>
        <w:t>30 июля 2020</w:t>
      </w:r>
      <w:r w:rsidRPr="00826DEA">
        <w:rPr>
          <w:b/>
        </w:rPr>
        <w:t xml:space="preserve"> года включительно</w:t>
      </w:r>
      <w:r w:rsidRPr="00416A43">
        <w:t xml:space="preserve"> устранить допущенные нарушения Арбитражного процессуального кодекса Приднестровской Молдавской Республики</w:t>
      </w:r>
      <w:r w:rsidR="00626F47">
        <w:t>, обеспечив поступление соответствующего заявления с приложенными документами к установленному сроку в Арбитражный суд</w:t>
      </w:r>
      <w:r w:rsidRPr="00416A43">
        <w:t>.</w:t>
      </w:r>
    </w:p>
    <w:p w:rsidR="00C121BA" w:rsidRDefault="00C121BA" w:rsidP="00C121BA">
      <w:pPr>
        <w:numPr>
          <w:ilvl w:val="0"/>
          <w:numId w:val="5"/>
        </w:numPr>
        <w:ind w:left="0" w:firstLine="709"/>
        <w:jc w:val="both"/>
      </w:pPr>
      <w:r w:rsidRPr="00416A43">
        <w:t>Разъяснить, что в соответствии с частью второй пункта 3 статьи 96-1 АПК ПМР в случае, если обстоятельства, послужившие основанием для оставления заявления без движения, не будут устранены в срок, установленный в настоящем определении, Арбитражный суд возвращает заявление и прилагаемые к нему документы в порядке, предусмотренном статьей 97 АПК ПМР.</w:t>
      </w:r>
    </w:p>
    <w:p w:rsidR="00C121BA" w:rsidRPr="00416A43" w:rsidRDefault="00C121BA" w:rsidP="00C121BA">
      <w:pPr>
        <w:ind w:left="709"/>
        <w:jc w:val="both"/>
        <w:outlineLvl w:val="0"/>
      </w:pPr>
    </w:p>
    <w:p w:rsidR="00C121BA" w:rsidRPr="00416A43" w:rsidRDefault="00C121BA" w:rsidP="00C121BA">
      <w:pPr>
        <w:ind w:left="709"/>
        <w:jc w:val="both"/>
        <w:outlineLvl w:val="0"/>
      </w:pPr>
      <w:r w:rsidRPr="00416A43">
        <w:t xml:space="preserve">Определение не обжалуется. </w:t>
      </w:r>
    </w:p>
    <w:p w:rsidR="00C121BA" w:rsidRPr="00416A43" w:rsidRDefault="00C121BA" w:rsidP="00EC70F8">
      <w:pPr>
        <w:jc w:val="both"/>
      </w:pPr>
    </w:p>
    <w:p w:rsidR="00C121BA" w:rsidRPr="00416A43" w:rsidRDefault="00C121BA" w:rsidP="00C121BA">
      <w:pPr>
        <w:jc w:val="both"/>
        <w:outlineLvl w:val="0"/>
        <w:rPr>
          <w:b/>
        </w:rPr>
      </w:pPr>
      <w:r w:rsidRPr="00416A43">
        <w:rPr>
          <w:b/>
        </w:rPr>
        <w:t xml:space="preserve">Судья Арбитражного суда </w:t>
      </w:r>
    </w:p>
    <w:p w:rsidR="00C121BA" w:rsidRPr="00416A43" w:rsidRDefault="00C121BA" w:rsidP="00C121BA">
      <w:pPr>
        <w:jc w:val="both"/>
        <w:rPr>
          <w:b/>
        </w:rPr>
      </w:pPr>
      <w:r w:rsidRPr="00416A43">
        <w:rPr>
          <w:b/>
        </w:rPr>
        <w:t xml:space="preserve">Приднестровской Молдавской Республики   </w:t>
      </w:r>
      <w:r>
        <w:rPr>
          <w:b/>
        </w:rPr>
        <w:t xml:space="preserve">                           </w:t>
      </w:r>
      <w:r w:rsidRPr="00416A43">
        <w:rPr>
          <w:b/>
        </w:rPr>
        <w:t xml:space="preserve">                 Т. И. </w:t>
      </w:r>
      <w:proofErr w:type="spellStart"/>
      <w:r w:rsidRPr="00416A43">
        <w:rPr>
          <w:b/>
        </w:rPr>
        <w:t>Цыганаш</w:t>
      </w:r>
      <w:proofErr w:type="spellEnd"/>
      <w:r w:rsidRPr="00416A43">
        <w:rPr>
          <w:b/>
        </w:rPr>
        <w:t xml:space="preserve"> </w:t>
      </w:r>
    </w:p>
    <w:p w:rsidR="00E265BC" w:rsidRDefault="00E265BC" w:rsidP="00C121BA">
      <w:pPr>
        <w:ind w:firstLine="720"/>
        <w:jc w:val="both"/>
        <w:rPr>
          <w:sz w:val="28"/>
          <w:szCs w:val="28"/>
        </w:rPr>
      </w:pPr>
    </w:p>
    <w:sectPr w:rsidR="00E265BC" w:rsidSect="00C121BA">
      <w:footerReference w:type="default" r:id="rId8"/>
      <w:pgSz w:w="11906" w:h="16838"/>
      <w:pgMar w:top="1440" w:right="424" w:bottom="1440" w:left="180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A64" w:rsidRDefault="00992A64" w:rsidP="00747910">
      <w:r>
        <w:separator/>
      </w:r>
    </w:p>
  </w:endnote>
  <w:endnote w:type="continuationSeparator" w:id="1">
    <w:p w:rsidR="00992A64" w:rsidRDefault="00992A64"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A64" w:rsidRDefault="007620C7">
    <w:pPr>
      <w:pStyle w:val="a7"/>
      <w:jc w:val="right"/>
    </w:pPr>
    <w:fldSimple w:instr=" PAGE   \* MERGEFORMAT ">
      <w:r w:rsidR="00C82B53">
        <w:rPr>
          <w:noProof/>
        </w:rPr>
        <w:t>1</w:t>
      </w:r>
    </w:fldSimple>
  </w:p>
  <w:p w:rsidR="00992A64" w:rsidRDefault="00992A6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A64" w:rsidRDefault="00992A64" w:rsidP="00747910">
      <w:r>
        <w:separator/>
      </w:r>
    </w:p>
  </w:footnote>
  <w:footnote w:type="continuationSeparator" w:id="1">
    <w:p w:rsidR="00992A64" w:rsidRDefault="00992A64"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11658"/>
    <w:rsid w:val="000400F3"/>
    <w:rsid w:val="000604C4"/>
    <w:rsid w:val="00081B5A"/>
    <w:rsid w:val="000C4195"/>
    <w:rsid w:val="000C512D"/>
    <w:rsid w:val="000C64A5"/>
    <w:rsid w:val="000E2672"/>
    <w:rsid w:val="000E5906"/>
    <w:rsid w:val="000F5F55"/>
    <w:rsid w:val="001060C0"/>
    <w:rsid w:val="0012589C"/>
    <w:rsid w:val="00154B63"/>
    <w:rsid w:val="00161C85"/>
    <w:rsid w:val="001823B7"/>
    <w:rsid w:val="001919F5"/>
    <w:rsid w:val="001A48C1"/>
    <w:rsid w:val="001C1B4F"/>
    <w:rsid w:val="001D2264"/>
    <w:rsid w:val="001D50AF"/>
    <w:rsid w:val="001F3ECE"/>
    <w:rsid w:val="00212E13"/>
    <w:rsid w:val="002431E5"/>
    <w:rsid w:val="00257178"/>
    <w:rsid w:val="0026059C"/>
    <w:rsid w:val="00277DAD"/>
    <w:rsid w:val="002935E2"/>
    <w:rsid w:val="00295CB3"/>
    <w:rsid w:val="002D2926"/>
    <w:rsid w:val="00365A17"/>
    <w:rsid w:val="00366852"/>
    <w:rsid w:val="00367911"/>
    <w:rsid w:val="00381CF3"/>
    <w:rsid w:val="003A617A"/>
    <w:rsid w:val="003E7DEC"/>
    <w:rsid w:val="003F211F"/>
    <w:rsid w:val="00424065"/>
    <w:rsid w:val="00435D1A"/>
    <w:rsid w:val="00444EB1"/>
    <w:rsid w:val="004A01C7"/>
    <w:rsid w:val="004B0F41"/>
    <w:rsid w:val="004C4E5E"/>
    <w:rsid w:val="004C56EA"/>
    <w:rsid w:val="004C701C"/>
    <w:rsid w:val="004E6E6B"/>
    <w:rsid w:val="004F5500"/>
    <w:rsid w:val="004F7B6D"/>
    <w:rsid w:val="00510F27"/>
    <w:rsid w:val="0051667D"/>
    <w:rsid w:val="00541365"/>
    <w:rsid w:val="00552065"/>
    <w:rsid w:val="00594FE5"/>
    <w:rsid w:val="005A6736"/>
    <w:rsid w:val="005E529D"/>
    <w:rsid w:val="005F239A"/>
    <w:rsid w:val="00626F47"/>
    <w:rsid w:val="006563D2"/>
    <w:rsid w:val="00673EC3"/>
    <w:rsid w:val="00683558"/>
    <w:rsid w:val="00694E57"/>
    <w:rsid w:val="006C6D2B"/>
    <w:rsid w:val="006E570D"/>
    <w:rsid w:val="006F1278"/>
    <w:rsid w:val="00710036"/>
    <w:rsid w:val="007119B8"/>
    <w:rsid w:val="00717526"/>
    <w:rsid w:val="00736754"/>
    <w:rsid w:val="00747910"/>
    <w:rsid w:val="0075091C"/>
    <w:rsid w:val="007620C7"/>
    <w:rsid w:val="007A51C3"/>
    <w:rsid w:val="007E508F"/>
    <w:rsid w:val="00802FBF"/>
    <w:rsid w:val="0081172C"/>
    <w:rsid w:val="00813A13"/>
    <w:rsid w:val="00815DB1"/>
    <w:rsid w:val="00826DEA"/>
    <w:rsid w:val="008273B9"/>
    <w:rsid w:val="008321C0"/>
    <w:rsid w:val="00833454"/>
    <w:rsid w:val="00844235"/>
    <w:rsid w:val="00857EA8"/>
    <w:rsid w:val="008910B8"/>
    <w:rsid w:val="008A11D6"/>
    <w:rsid w:val="00900716"/>
    <w:rsid w:val="00904994"/>
    <w:rsid w:val="00917458"/>
    <w:rsid w:val="00917C61"/>
    <w:rsid w:val="00926900"/>
    <w:rsid w:val="00955496"/>
    <w:rsid w:val="0095554E"/>
    <w:rsid w:val="00992A64"/>
    <w:rsid w:val="00997222"/>
    <w:rsid w:val="009977D8"/>
    <w:rsid w:val="009E3D68"/>
    <w:rsid w:val="009F22E5"/>
    <w:rsid w:val="00A032B6"/>
    <w:rsid w:val="00A35C35"/>
    <w:rsid w:val="00A42F10"/>
    <w:rsid w:val="00A654E1"/>
    <w:rsid w:val="00A76266"/>
    <w:rsid w:val="00AB326C"/>
    <w:rsid w:val="00AC6E73"/>
    <w:rsid w:val="00AE51C6"/>
    <w:rsid w:val="00AF591D"/>
    <w:rsid w:val="00B76C06"/>
    <w:rsid w:val="00BD14AE"/>
    <w:rsid w:val="00BE4F3D"/>
    <w:rsid w:val="00BE7BA6"/>
    <w:rsid w:val="00BF0B89"/>
    <w:rsid w:val="00C1131C"/>
    <w:rsid w:val="00C121BA"/>
    <w:rsid w:val="00C25D86"/>
    <w:rsid w:val="00C3734A"/>
    <w:rsid w:val="00C43442"/>
    <w:rsid w:val="00C77370"/>
    <w:rsid w:val="00C82B53"/>
    <w:rsid w:val="00CA1791"/>
    <w:rsid w:val="00CE159E"/>
    <w:rsid w:val="00D04AEB"/>
    <w:rsid w:val="00D27AAE"/>
    <w:rsid w:val="00D96E34"/>
    <w:rsid w:val="00D97F2B"/>
    <w:rsid w:val="00DB34A4"/>
    <w:rsid w:val="00DE088B"/>
    <w:rsid w:val="00E265BC"/>
    <w:rsid w:val="00E37FF1"/>
    <w:rsid w:val="00E51F48"/>
    <w:rsid w:val="00E6678D"/>
    <w:rsid w:val="00E67E5E"/>
    <w:rsid w:val="00E90DB1"/>
    <w:rsid w:val="00E92C98"/>
    <w:rsid w:val="00E975E9"/>
    <w:rsid w:val="00EC5E17"/>
    <w:rsid w:val="00EC70F8"/>
    <w:rsid w:val="00ED67B4"/>
    <w:rsid w:val="00F16008"/>
    <w:rsid w:val="00F1639B"/>
    <w:rsid w:val="00F253A2"/>
    <w:rsid w:val="00F628E4"/>
    <w:rsid w:val="00F64381"/>
    <w:rsid w:val="00F72C4D"/>
    <w:rsid w:val="00FA6E55"/>
    <w:rsid w:val="00FC2443"/>
    <w:rsid w:val="00FC3F3C"/>
    <w:rsid w:val="00FE61CD"/>
    <w:rsid w:val="00FF30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19B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0922512">
      <w:bodyDiv w:val="1"/>
      <w:marLeft w:val="0"/>
      <w:marRight w:val="0"/>
      <w:marTop w:val="0"/>
      <w:marBottom w:val="0"/>
      <w:divBdr>
        <w:top w:val="none" w:sz="0" w:space="0" w:color="auto"/>
        <w:left w:val="none" w:sz="0" w:space="0" w:color="auto"/>
        <w:bottom w:val="none" w:sz="0" w:space="0" w:color="auto"/>
        <w:right w:val="none" w:sz="0" w:space="0" w:color="auto"/>
      </w:divBdr>
    </w:div>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632</Words>
  <Characters>4220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4843</CharactersWithSpaces>
  <SharedDoc>false</SharedDoc>
  <HLinks>
    <vt:vector size="6" baseType="variant">
      <vt:variant>
        <vt:i4>1507397</vt:i4>
      </vt:variant>
      <vt:variant>
        <vt:i4>0</vt:i4>
      </vt:variant>
      <vt:variant>
        <vt:i4>0</vt:i4>
      </vt:variant>
      <vt:variant>
        <vt:i4>5</vt:i4>
      </vt:variant>
      <vt:variant>
        <vt:lpwstr>http://arbitr.gospmr.org/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5</cp:revision>
  <cp:lastPrinted>2020-07-20T08:20:00Z</cp:lastPrinted>
  <dcterms:created xsi:type="dcterms:W3CDTF">2020-07-20T07:42:00Z</dcterms:created>
  <dcterms:modified xsi:type="dcterms:W3CDTF">2020-07-20T08:21:00Z</dcterms:modified>
</cp:coreProperties>
</file>