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0389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F46621">
            <w:pPr>
              <w:rPr>
                <w:rFonts w:eastAsia="Calibri"/>
                <w:bCs/>
              </w:rPr>
            </w:pPr>
            <w:r w:rsidRPr="00B44A22">
              <w:rPr>
                <w:rFonts w:eastAsia="Calibri"/>
              </w:rPr>
              <w:t>«</w:t>
            </w:r>
            <w:r w:rsidR="00974645" w:rsidRPr="00B44A22">
              <w:rPr>
                <w:rFonts w:eastAsia="Calibri"/>
                <w:u w:val="single"/>
              </w:rPr>
              <w:t xml:space="preserve"> </w:t>
            </w:r>
            <w:r w:rsidR="00F46621">
              <w:rPr>
                <w:rFonts w:eastAsia="Calibri"/>
                <w:u w:val="single"/>
              </w:rPr>
              <w:t xml:space="preserve">26 </w:t>
            </w:r>
            <w:r w:rsidRPr="00B44A22">
              <w:rPr>
                <w:rFonts w:eastAsia="Calibri"/>
                <w:u w:val="single"/>
              </w:rPr>
              <w:t xml:space="preserve">» </w:t>
            </w:r>
            <w:r w:rsidR="00F46621">
              <w:rPr>
                <w:rFonts w:eastAsia="Calibri"/>
                <w:u w:val="single"/>
              </w:rPr>
              <w:t>ма</w:t>
            </w:r>
            <w:r w:rsidR="00C16206">
              <w:rPr>
                <w:rFonts w:eastAsia="Calibri"/>
                <w:u w:val="single"/>
              </w:rPr>
              <w:t xml:space="preserve">я </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20</w:t>
            </w:r>
            <w:r w:rsidR="003A3F73">
              <w:rPr>
                <w:rFonts w:eastAsia="Calibri"/>
                <w:bCs/>
                <w:u w:val="single"/>
              </w:rPr>
              <w:t xml:space="preserve"> </w:t>
            </w:r>
            <w:r w:rsidRPr="00B44A22">
              <w:rPr>
                <w:rFonts w:eastAsia="Calibri"/>
                <w:bCs/>
              </w:rPr>
              <w:t>г</w:t>
            </w:r>
            <w:r w:rsidR="003A3F73">
              <w:rPr>
                <w:rFonts w:eastAsia="Calibri"/>
                <w:bCs/>
              </w:rPr>
              <w:t>ода</w:t>
            </w:r>
          </w:p>
        </w:tc>
        <w:tc>
          <w:tcPr>
            <w:tcW w:w="4971" w:type="dxa"/>
            <w:gridSpan w:val="3"/>
          </w:tcPr>
          <w:p w:rsidR="00435D1A" w:rsidRPr="00B44A22" w:rsidRDefault="00435D1A" w:rsidP="00F46621">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F46621">
              <w:rPr>
                <w:rFonts w:eastAsia="Calibri"/>
                <w:u w:val="single"/>
              </w:rPr>
              <w:t>287</w:t>
            </w:r>
            <w:r w:rsidR="00883259" w:rsidRPr="00B44A22">
              <w:rPr>
                <w:rFonts w:eastAsia="Calibri"/>
                <w:u w:val="single"/>
              </w:rPr>
              <w:t>/</w:t>
            </w:r>
            <w:r w:rsidR="00C16206">
              <w:rPr>
                <w:rFonts w:eastAsia="Calibri"/>
                <w:u w:val="single"/>
              </w:rPr>
              <w:t>20</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Pr="000E340C" w:rsidRDefault="008273B9"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C16206" w:rsidRDefault="0099192F" w:rsidP="00C16206">
      <w:pPr>
        <w:ind w:firstLine="708"/>
        <w:jc w:val="both"/>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вопрос о принятии к производству </w:t>
      </w:r>
      <w:r w:rsidR="00F46621">
        <w:t xml:space="preserve">искового </w:t>
      </w:r>
      <w:r w:rsidR="00C16206" w:rsidRPr="00C16206">
        <w:t>заявления</w:t>
      </w:r>
      <w:r w:rsidR="00F46621">
        <w:t xml:space="preserve"> ООО «Тринита» (г.Тирасполь, ул.Свердлова, 74, кв.128) к ООО «КаБаРеТ» (г.Тирасполь, ул.Луначарского, 24) о взыскании долга и процентов за пользование чужими денежными средствами</w:t>
      </w:r>
      <w:r w:rsidR="00F46621" w:rsidRPr="007476ED">
        <w:rPr>
          <w:color w:val="000000" w:themeColor="text1"/>
        </w:rPr>
        <w:t>,</w:t>
      </w:r>
      <w:r w:rsidR="00C16206" w:rsidRPr="00C16206">
        <w:rPr>
          <w:bCs/>
        </w:rPr>
        <w:t xml:space="preserve"> </w:t>
      </w:r>
      <w:r w:rsidR="00C16206" w:rsidRPr="00C16206">
        <w:t>а также изучив приложенные к нему документы,</w:t>
      </w:r>
    </w:p>
    <w:p w:rsidR="00CA0625" w:rsidRPr="00C16206" w:rsidRDefault="00CA0625" w:rsidP="00C16206">
      <w:pPr>
        <w:ind w:firstLine="708"/>
        <w:jc w:val="both"/>
      </w:pPr>
    </w:p>
    <w:p w:rsidR="00C16206" w:rsidRDefault="00C16206" w:rsidP="00C16206">
      <w:pPr>
        <w:ind w:right="-1" w:firstLine="709"/>
        <w:jc w:val="center"/>
        <w:rPr>
          <w:b/>
        </w:rPr>
      </w:pPr>
      <w:r>
        <w:rPr>
          <w:b/>
        </w:rPr>
        <w:t>У С Т А Н О В И Л:</w:t>
      </w:r>
    </w:p>
    <w:p w:rsidR="00F46621" w:rsidRDefault="00F46621" w:rsidP="00A962E3">
      <w:pPr>
        <w:ind w:right="-58" w:firstLine="709"/>
        <w:jc w:val="both"/>
        <w:rPr>
          <w:bCs/>
        </w:rPr>
      </w:pPr>
    </w:p>
    <w:p w:rsidR="00F46621" w:rsidRDefault="00F46621" w:rsidP="00A962E3">
      <w:pPr>
        <w:ind w:right="-58" w:firstLine="709"/>
        <w:jc w:val="both"/>
      </w:pPr>
      <w:r>
        <w:t xml:space="preserve">ООО «Тринита» </w:t>
      </w:r>
      <w:r>
        <w:rPr>
          <w:bCs/>
        </w:rPr>
        <w:t xml:space="preserve">обратилось в Арбитражный суд </w:t>
      </w:r>
      <w:r>
        <w:t xml:space="preserve">Приднестровской Молдавской Республики (далее Арбитражный суд) </w:t>
      </w:r>
      <w:r>
        <w:rPr>
          <w:bCs/>
        </w:rPr>
        <w:t xml:space="preserve">с исковым заявлением </w:t>
      </w:r>
      <w:r>
        <w:t>к ООО «КаБаРеТ» о взыскании долга и процентов за пользование чужими денежными средствами.</w:t>
      </w:r>
    </w:p>
    <w:p w:rsidR="00C16206" w:rsidRPr="00214524" w:rsidRDefault="00C16206" w:rsidP="00A962E3">
      <w:pPr>
        <w:ind w:right="-58" w:firstLine="709"/>
        <w:jc w:val="both"/>
      </w:pPr>
      <w:r>
        <w:t xml:space="preserve">В связи с несоблюдением заявителем требований статьи </w:t>
      </w:r>
      <w:r w:rsidR="0099192F">
        <w:t xml:space="preserve">ст.93 </w:t>
      </w:r>
      <w:r w:rsidR="003F3688" w:rsidRPr="00C16206">
        <w:rPr>
          <w:color w:val="000000" w:themeColor="text1"/>
        </w:rPr>
        <w:t>А</w:t>
      </w:r>
      <w:r w:rsidR="003F3688">
        <w:rPr>
          <w:color w:val="000000" w:themeColor="text1"/>
        </w:rPr>
        <w:t xml:space="preserve">рбитражного процессуального кодекса </w:t>
      </w:r>
      <w:r w:rsidR="003F3688">
        <w:t>Приднестровской Молдавской Республики</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rsidR="00F46621">
        <w:t>13 мая</w:t>
      </w:r>
      <w:r w:rsidRPr="00214524">
        <w:t xml:space="preserve"> 2020 года </w:t>
      </w:r>
      <w:r w:rsidRPr="00C16206">
        <w:t>заявление оставлено</w:t>
      </w:r>
      <w:r w:rsidRPr="00214524">
        <w:t xml:space="preserve"> без движения, </w:t>
      </w:r>
      <w:r>
        <w:t>заявителю</w:t>
      </w:r>
      <w:r w:rsidRPr="00214524">
        <w:t xml:space="preserve"> предложено устранить обстоятельства, послужившие основанием для оставления заявления без движения</w:t>
      </w:r>
      <w:r>
        <w:t xml:space="preserve"> в срок до </w:t>
      </w:r>
      <w:r w:rsidR="00F46621">
        <w:t>25 мая</w:t>
      </w:r>
      <w:r>
        <w:t xml:space="preserve"> 2020 г. включительно</w:t>
      </w:r>
      <w:r w:rsidRPr="00214524">
        <w:t xml:space="preserve">. </w:t>
      </w:r>
    </w:p>
    <w:p w:rsidR="00C16206" w:rsidRDefault="00C16206" w:rsidP="00A962E3">
      <w:pPr>
        <w:ind w:right="-58" w:firstLine="709"/>
        <w:jc w:val="both"/>
      </w:pPr>
      <w:r>
        <w:t xml:space="preserve">Однако к устранению указанных в определении недостатков </w:t>
      </w:r>
      <w:r w:rsidR="00F46621">
        <w:t>истец</w:t>
      </w:r>
      <w:r>
        <w:t xml:space="preserve"> отнесся формально.</w:t>
      </w:r>
      <w:r w:rsidR="0099192F">
        <w:t xml:space="preserve"> </w:t>
      </w:r>
    </w:p>
    <w:p w:rsidR="00F46621" w:rsidRPr="00F46621" w:rsidRDefault="007C4AFD" w:rsidP="00F46621">
      <w:pPr>
        <w:ind w:firstLine="709"/>
        <w:jc w:val="both"/>
      </w:pPr>
      <w:r>
        <w:rPr>
          <w:color w:val="000000" w:themeColor="text1"/>
        </w:rPr>
        <w:t>В</w:t>
      </w:r>
      <w:r w:rsidR="00874EDB">
        <w:rPr>
          <w:color w:val="000000" w:themeColor="text1"/>
        </w:rPr>
        <w:t xml:space="preserve"> нарушение</w:t>
      </w:r>
      <w:r>
        <w:rPr>
          <w:color w:val="000000" w:themeColor="text1"/>
        </w:rPr>
        <w:t xml:space="preserve"> требовани</w:t>
      </w:r>
      <w:r w:rsidR="00874EDB">
        <w:rPr>
          <w:color w:val="000000" w:themeColor="text1"/>
        </w:rPr>
        <w:t>й</w:t>
      </w:r>
      <w:r>
        <w:rPr>
          <w:color w:val="000000" w:themeColor="text1"/>
        </w:rPr>
        <w:t xml:space="preserve"> п.п.</w:t>
      </w:r>
      <w:r w:rsidR="00F46621">
        <w:rPr>
          <w:color w:val="000000" w:themeColor="text1"/>
        </w:rPr>
        <w:t>а</w:t>
      </w:r>
      <w:r>
        <w:rPr>
          <w:color w:val="000000" w:themeColor="text1"/>
        </w:rPr>
        <w:t xml:space="preserve">) ч.1 </w:t>
      </w:r>
      <w:r w:rsidRPr="00766B87">
        <w:rPr>
          <w:color w:val="000000" w:themeColor="text1"/>
        </w:rPr>
        <w:t xml:space="preserve">ст.93 АПК ПМР </w:t>
      </w:r>
      <w:r w:rsidR="00CA0625">
        <w:rPr>
          <w:color w:val="000000" w:themeColor="text1"/>
        </w:rPr>
        <w:t xml:space="preserve">в Арбитражный суд в установленный срок </w:t>
      </w:r>
      <w:r>
        <w:rPr>
          <w:color w:val="000000" w:themeColor="text1"/>
        </w:rPr>
        <w:t xml:space="preserve">не представлен </w:t>
      </w:r>
      <w:r w:rsidRPr="00F46621">
        <w:rPr>
          <w:color w:val="000000" w:themeColor="text1"/>
        </w:rPr>
        <w:t>документ, подтверждающи</w:t>
      </w:r>
      <w:r w:rsidR="00F46621" w:rsidRPr="00F46621">
        <w:rPr>
          <w:color w:val="000000" w:themeColor="text1"/>
        </w:rPr>
        <w:t>й</w:t>
      </w:r>
      <w:r w:rsidRPr="00F46621">
        <w:rPr>
          <w:color w:val="000000" w:themeColor="text1"/>
        </w:rPr>
        <w:t xml:space="preserve"> </w:t>
      </w:r>
      <w:r w:rsidR="00F46621" w:rsidRPr="00F46621">
        <w:t>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r w:rsidR="00F46621">
        <w:t>.</w:t>
      </w:r>
    </w:p>
    <w:p w:rsidR="00F46621" w:rsidRDefault="00C16206" w:rsidP="00A962E3">
      <w:pPr>
        <w:tabs>
          <w:tab w:val="right" w:pos="10148"/>
        </w:tabs>
        <w:ind w:firstLine="709"/>
        <w:jc w:val="both"/>
      </w:pPr>
      <w:r w:rsidRPr="00214524">
        <w:t xml:space="preserve">Во исполнение определения </w:t>
      </w:r>
      <w:r w:rsidR="00F46621">
        <w:t>от 13 мая</w:t>
      </w:r>
      <w:r>
        <w:t xml:space="preserve"> </w:t>
      </w:r>
      <w:r w:rsidRPr="00214524">
        <w:t xml:space="preserve">2020 года </w:t>
      </w:r>
      <w:r w:rsidR="00F46621">
        <w:t>истцом</w:t>
      </w:r>
      <w:r>
        <w:t xml:space="preserve"> </w:t>
      </w:r>
      <w:r w:rsidRPr="00214524">
        <w:t xml:space="preserve">представлены в Арбитражный суд </w:t>
      </w:r>
      <w:r w:rsidR="00F46621">
        <w:t xml:space="preserve">выписки из государственного реестра в отношении истца и ответчика, а также справка ЗАО «Приднестровский Сбербанк» от 15.05.2020 г. № 22/161, согласно которой ЗАО «Приднестровский Сбербанк» подтверждает, что 25.12.2019 г. состоялся платеж от ООО «Триника» через Байдакова Д.В. в пользу НИ по г.Тирасполь на счет 2181000001110000 в размере 5 284,7 рублей (госпошлина по делам, рассматриваемым в </w:t>
      </w:r>
      <w:r w:rsidR="00F46621" w:rsidRPr="004F6545">
        <w:rPr>
          <w:color w:val="000000" w:themeColor="text1"/>
        </w:rPr>
        <w:t>Арбитражном суде).</w:t>
      </w:r>
      <w:r w:rsidR="00F46621">
        <w:t xml:space="preserve"> </w:t>
      </w:r>
    </w:p>
    <w:p w:rsidR="00F46621" w:rsidRDefault="004B50D1" w:rsidP="00A962E3">
      <w:pPr>
        <w:tabs>
          <w:tab w:val="right" w:pos="10148"/>
        </w:tabs>
        <w:ind w:firstLine="709"/>
        <w:jc w:val="both"/>
      </w:pPr>
      <w:r>
        <w:t xml:space="preserve">Вместе с тем, указанная госпошлина была оплачена ООО «Трината» при подаче </w:t>
      </w:r>
      <w:r w:rsidR="00B64D7E">
        <w:t xml:space="preserve">в Арбитражный суд ПМР </w:t>
      </w:r>
      <w:r>
        <w:t xml:space="preserve">08.01.2020 г. </w:t>
      </w:r>
      <w:r w:rsidR="00AD181A">
        <w:t xml:space="preserve">аналогичного иска </w:t>
      </w:r>
      <w:r>
        <w:t xml:space="preserve">(дело № 8/20-04), оставленного определением Арбитражного суда от 17.03.2020 г. </w:t>
      </w:r>
      <w:r w:rsidR="00AD181A">
        <w:t xml:space="preserve">без рассмотрения </w:t>
      </w:r>
      <w:r>
        <w:t xml:space="preserve">в связи с неявкой истца в судебное заседание, что в </w:t>
      </w:r>
      <w:r w:rsidR="00AD181A">
        <w:t>соответствии</w:t>
      </w:r>
      <w:r>
        <w:t xml:space="preserve"> с п.4 ст.6 Закона ПМР «О государственной пошлине» во взаимосвязи со ст.82 АПК ПМР</w:t>
      </w:r>
      <w:r w:rsidR="00AD181A">
        <w:t>,</w:t>
      </w:r>
      <w:r>
        <w:t xml:space="preserve"> не является основанием для возврата госпошлины. </w:t>
      </w:r>
    </w:p>
    <w:p w:rsidR="008D78CE" w:rsidRDefault="00AD181A" w:rsidP="008D78CE">
      <w:pPr>
        <w:tabs>
          <w:tab w:val="right" w:pos="10148"/>
        </w:tabs>
        <w:ind w:firstLine="567"/>
        <w:jc w:val="both"/>
      </w:pPr>
      <w:r>
        <w:t xml:space="preserve">Таким образом, представленная справка ЗАО «Приднестровский Сбербанк» от </w:t>
      </w:r>
      <w:r w:rsidR="00250939">
        <w:t xml:space="preserve">    </w:t>
      </w:r>
      <w:r>
        <w:t>15.05.2020 г. № 22/161, как и п</w:t>
      </w:r>
      <w:r w:rsidR="004B50D1">
        <w:t>риложенная к исковому заявлению квитанция на сумму 5 284,7 рублей</w:t>
      </w:r>
      <w:r w:rsidR="00874EDB">
        <w:t>,</w:t>
      </w:r>
      <w:r w:rsidR="004B50D1">
        <w:t xml:space="preserve"> не </w:t>
      </w:r>
      <w:r w:rsidR="004B50D1" w:rsidRPr="00593628">
        <w:t>подтвержда</w:t>
      </w:r>
      <w:r>
        <w:t>ю</w:t>
      </w:r>
      <w:r w:rsidR="004B50D1">
        <w:t>т</w:t>
      </w:r>
      <w:r w:rsidR="004B50D1" w:rsidRPr="00593628">
        <w:t xml:space="preserve"> уплату государственной пошлины в установленном порядке</w:t>
      </w:r>
      <w:r w:rsidR="007C60CE">
        <w:t xml:space="preserve">. </w:t>
      </w:r>
    </w:p>
    <w:p w:rsidR="008D78CE" w:rsidRDefault="007C60CE" w:rsidP="008D78CE">
      <w:pPr>
        <w:tabs>
          <w:tab w:val="right" w:pos="10148"/>
        </w:tabs>
        <w:ind w:firstLine="567"/>
        <w:jc w:val="both"/>
      </w:pPr>
      <w:r>
        <w:lastRenderedPageBreak/>
        <w:t>П</w:t>
      </w:r>
      <w:r w:rsidR="00B64D7E">
        <w:t>ри подаче нового  искового заявления</w:t>
      </w:r>
      <w:r>
        <w:t xml:space="preserve"> государственная пошлина должна быть уплачена </w:t>
      </w:r>
      <w:r w:rsidR="00874EDB">
        <w:t>истцом</w:t>
      </w:r>
      <w:r w:rsidR="008D78CE">
        <w:t xml:space="preserve"> в размере,  установленном Законом ПМР «О государственной пошлине»</w:t>
      </w:r>
      <w:r w:rsidR="00235C98">
        <w:t>,</w:t>
      </w:r>
      <w:r w:rsidR="008D78CE">
        <w:t xml:space="preserve"> независимо от оплаты истцом госпошлины за другие поданные в суд иски</w:t>
      </w:r>
      <w:r w:rsidR="00250939">
        <w:t xml:space="preserve"> и заявления</w:t>
      </w:r>
      <w:r w:rsidR="008D78CE">
        <w:t>.</w:t>
      </w:r>
    </w:p>
    <w:p w:rsidR="00A962E3" w:rsidRDefault="000B242E" w:rsidP="008D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rPr>
      </w:pPr>
      <w:r>
        <w:t xml:space="preserve">При таких данных, </w:t>
      </w:r>
      <w:r w:rsidR="00A962E3">
        <w:t>Арбитражный с</w:t>
      </w:r>
      <w:r w:rsidR="00A962E3" w:rsidRPr="00C77B67">
        <w:t xml:space="preserve">уд приходит к выводу о том, что </w:t>
      </w:r>
      <w:r w:rsidR="00BC52EE">
        <w:t>истцом</w:t>
      </w:r>
      <w:r w:rsidR="00A962E3">
        <w:t xml:space="preserve"> </w:t>
      </w:r>
      <w:r w:rsidR="00A962E3" w:rsidRPr="00C77B67">
        <w:t xml:space="preserve">не </w:t>
      </w:r>
      <w:r w:rsidR="00A962E3" w:rsidRPr="00B75FCB">
        <w:rPr>
          <w:color w:val="000000" w:themeColor="text1"/>
        </w:rPr>
        <w:t xml:space="preserve">устранены </w:t>
      </w:r>
      <w:r w:rsidR="00AD181A">
        <w:rPr>
          <w:color w:val="000000" w:themeColor="text1"/>
        </w:rPr>
        <w:t xml:space="preserve">в полном объеме </w:t>
      </w:r>
      <w:r w:rsidR="00A962E3" w:rsidRPr="00C77B67">
        <w:t>недостатки</w:t>
      </w:r>
      <w:r w:rsidR="00A962E3" w:rsidRPr="00B75FCB">
        <w:rPr>
          <w:color w:val="000000" w:themeColor="text1"/>
        </w:rPr>
        <w:t xml:space="preserve">, послужившие основаниями для оставления </w:t>
      </w:r>
      <w:r w:rsidR="00BC52EE">
        <w:rPr>
          <w:color w:val="000000" w:themeColor="text1"/>
        </w:rPr>
        <w:t xml:space="preserve">искового </w:t>
      </w:r>
      <w:r w:rsidR="00A962E3" w:rsidRPr="00B75FCB">
        <w:rPr>
          <w:color w:val="000000" w:themeColor="text1"/>
        </w:rPr>
        <w:t>заявления без движения</w:t>
      </w:r>
      <w:r w:rsidR="00B64D7E">
        <w:rPr>
          <w:color w:val="000000" w:themeColor="text1"/>
        </w:rPr>
        <w:t xml:space="preserve"> (п.п.а) ч.1 </w:t>
      </w:r>
      <w:r w:rsidR="00B64D7E" w:rsidRPr="00766B87">
        <w:rPr>
          <w:color w:val="000000" w:themeColor="text1"/>
        </w:rPr>
        <w:t>ст.93 АПК ПМР</w:t>
      </w:r>
      <w:r w:rsidR="00B64D7E">
        <w:rPr>
          <w:color w:val="000000" w:themeColor="text1"/>
        </w:rPr>
        <w:t>)</w:t>
      </w:r>
      <w:r w:rsidR="00A962E3">
        <w:rPr>
          <w:color w:val="000000" w:themeColor="text1"/>
        </w:rPr>
        <w:t>.</w:t>
      </w:r>
      <w:r w:rsidR="00A962E3" w:rsidRPr="00B75FCB">
        <w:rPr>
          <w:color w:val="000000" w:themeColor="text1"/>
        </w:rPr>
        <w:t xml:space="preserve"> </w:t>
      </w:r>
    </w:p>
    <w:p w:rsidR="00C16206" w:rsidRDefault="003F3688" w:rsidP="008D78CE">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8D78CE">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 xml:space="preserve">Арбитражный суд Приднестровской Молдавской Республики </w:t>
      </w:r>
    </w:p>
    <w:p w:rsidR="0099192F" w:rsidRPr="00C16206" w:rsidRDefault="0099192F" w:rsidP="00A962E3">
      <w:pPr>
        <w:tabs>
          <w:tab w:val="right" w:pos="10148"/>
        </w:tabs>
        <w:ind w:firstLine="709"/>
        <w:jc w:val="both"/>
        <w:rPr>
          <w:color w:val="000000" w:themeColor="text1"/>
        </w:rPr>
      </w:pPr>
    </w:p>
    <w:p w:rsidR="00C16206" w:rsidRDefault="00C16206" w:rsidP="00A962E3">
      <w:pPr>
        <w:ind w:right="-1" w:firstLine="709"/>
        <w:jc w:val="center"/>
        <w:rPr>
          <w:b/>
        </w:rPr>
      </w:pPr>
      <w:r>
        <w:rPr>
          <w:b/>
        </w:rPr>
        <w:t>О П Р Е Д Е Л И Л:</w:t>
      </w:r>
    </w:p>
    <w:p w:rsidR="00A962E3" w:rsidRDefault="00A962E3" w:rsidP="00A962E3">
      <w:pPr>
        <w:ind w:right="-1" w:firstLine="709"/>
        <w:jc w:val="center"/>
        <w:rPr>
          <w:b/>
        </w:rPr>
      </w:pPr>
    </w:p>
    <w:p w:rsidR="00A273D7" w:rsidRDefault="00A273D7" w:rsidP="00A962E3">
      <w:pPr>
        <w:ind w:firstLine="709"/>
        <w:jc w:val="both"/>
      </w:pPr>
      <w:r w:rsidRPr="00B75FCB">
        <w:rPr>
          <w:rStyle w:val="FontStyle14"/>
          <w:sz w:val="24"/>
          <w:szCs w:val="24"/>
        </w:rPr>
        <w:t>Возвратить</w:t>
      </w:r>
      <w:r w:rsidR="00AD181A" w:rsidRPr="00AD181A">
        <w:t xml:space="preserve"> </w:t>
      </w:r>
      <w:r w:rsidR="00AD181A">
        <w:t>ООО «Тринита» исковое заявление к ООО «КаБаРеТ» о взыскании долга и процентов за пользование чужими денежными средствами</w:t>
      </w:r>
      <w:r w:rsidR="00AD181A" w:rsidRPr="007476ED">
        <w:rPr>
          <w:color w:val="000000" w:themeColor="text1"/>
        </w:rPr>
        <w:t>,</w:t>
      </w:r>
      <w:r w:rsidR="00B75FCB" w:rsidRPr="00C16206">
        <w:rPr>
          <w:bCs/>
        </w:rPr>
        <w:t xml:space="preserve"> </w:t>
      </w:r>
      <w:r w:rsidR="003B21D3">
        <w:t xml:space="preserve">и </w:t>
      </w:r>
      <w:r>
        <w:t>приложенные к нему документы.</w:t>
      </w:r>
    </w:p>
    <w:p w:rsidR="00B75FCB" w:rsidRPr="00B75FCB" w:rsidRDefault="00B75FCB" w:rsidP="00A962E3">
      <w:pPr>
        <w:ind w:firstLine="709"/>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left="709"/>
        <w:jc w:val="both"/>
      </w:pP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101628" w:rsidRDefault="00101628"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C039B3">
        <w:t>истца</w:t>
      </w:r>
      <w:r w:rsidR="00652871" w:rsidRPr="00C039B3">
        <w:t xml:space="preserve"> </w:t>
      </w:r>
      <w:r w:rsidRPr="00C039B3">
        <w:t xml:space="preserve">на  </w:t>
      </w:r>
      <w:r w:rsidR="00AD07B4" w:rsidRPr="00C039B3">
        <w:t xml:space="preserve">43 </w:t>
      </w:r>
      <w:r w:rsidRPr="00C039B3">
        <w:t>листах.</w:t>
      </w:r>
    </w:p>
    <w:p w:rsidR="00B75FCB" w:rsidRDefault="00B75FCB" w:rsidP="00B75FCB">
      <w:pPr>
        <w:ind w:left="709"/>
        <w:jc w:val="both"/>
      </w:pPr>
    </w:p>
    <w:p w:rsidR="00A21E41" w:rsidRDefault="00A21E41" w:rsidP="00BB131F">
      <w:pPr>
        <w:keepNext/>
        <w:ind w:firstLine="567"/>
        <w:jc w:val="both"/>
        <w:outlineLvl w:val="3"/>
        <w:rPr>
          <w:bCs/>
        </w:rPr>
      </w:pPr>
    </w:p>
    <w:p w:rsidR="00A21E41" w:rsidRDefault="00A21E41" w:rsidP="00BB131F">
      <w:pPr>
        <w:keepNext/>
        <w:ind w:firstLine="567"/>
        <w:jc w:val="both"/>
        <w:outlineLvl w:val="3"/>
        <w:rPr>
          <w:bCs/>
        </w:rPr>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BC52EE">
      <w:footerReference w:type="default" r:id="rId8"/>
      <w:pgSz w:w="11906" w:h="16838"/>
      <w:pgMar w:top="720"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C04" w:rsidRDefault="006C6C04" w:rsidP="00747910">
      <w:r>
        <w:separator/>
      </w:r>
    </w:p>
  </w:endnote>
  <w:endnote w:type="continuationSeparator" w:id="1">
    <w:p w:rsidR="006C6C04" w:rsidRDefault="006C6C0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C04" w:rsidRDefault="006C6C04" w:rsidP="00747910">
      <w:r>
        <w:separator/>
      </w:r>
    </w:p>
  </w:footnote>
  <w:footnote w:type="continuationSeparator" w:id="1">
    <w:p w:rsidR="006C6C04" w:rsidRDefault="006C6C0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707AE"/>
    <w:rsid w:val="00081B5A"/>
    <w:rsid w:val="000B242E"/>
    <w:rsid w:val="000C4195"/>
    <w:rsid w:val="000C512D"/>
    <w:rsid w:val="000C64A5"/>
    <w:rsid w:val="000C77C0"/>
    <w:rsid w:val="000D4142"/>
    <w:rsid w:val="000E2672"/>
    <w:rsid w:val="000E340C"/>
    <w:rsid w:val="000E5906"/>
    <w:rsid w:val="00101628"/>
    <w:rsid w:val="001823B7"/>
    <w:rsid w:val="001979FD"/>
    <w:rsid w:val="001A48C1"/>
    <w:rsid w:val="001C1B4F"/>
    <w:rsid w:val="001D3D23"/>
    <w:rsid w:val="00212E13"/>
    <w:rsid w:val="00235C98"/>
    <w:rsid w:val="002431E5"/>
    <w:rsid w:val="00247B3B"/>
    <w:rsid w:val="00250939"/>
    <w:rsid w:val="0026059C"/>
    <w:rsid w:val="0027446F"/>
    <w:rsid w:val="00274B11"/>
    <w:rsid w:val="002935E2"/>
    <w:rsid w:val="002D2926"/>
    <w:rsid w:val="002E2F12"/>
    <w:rsid w:val="00301F1A"/>
    <w:rsid w:val="0030226A"/>
    <w:rsid w:val="00303D72"/>
    <w:rsid w:val="003331A5"/>
    <w:rsid w:val="00365A17"/>
    <w:rsid w:val="00381CF3"/>
    <w:rsid w:val="003A3F73"/>
    <w:rsid w:val="003A617A"/>
    <w:rsid w:val="003A7D92"/>
    <w:rsid w:val="003B21D3"/>
    <w:rsid w:val="003F3688"/>
    <w:rsid w:val="00406BD5"/>
    <w:rsid w:val="00420D29"/>
    <w:rsid w:val="00424065"/>
    <w:rsid w:val="00435D1A"/>
    <w:rsid w:val="00444EB1"/>
    <w:rsid w:val="00481C90"/>
    <w:rsid w:val="0049186D"/>
    <w:rsid w:val="00493088"/>
    <w:rsid w:val="004A01C7"/>
    <w:rsid w:val="004A6BA4"/>
    <w:rsid w:val="004B0F41"/>
    <w:rsid w:val="004B4746"/>
    <w:rsid w:val="004B50D1"/>
    <w:rsid w:val="004C20C2"/>
    <w:rsid w:val="004C56EA"/>
    <w:rsid w:val="004C701C"/>
    <w:rsid w:val="004F6545"/>
    <w:rsid w:val="004F7B6D"/>
    <w:rsid w:val="00503893"/>
    <w:rsid w:val="0051667D"/>
    <w:rsid w:val="00533BE1"/>
    <w:rsid w:val="00587A0E"/>
    <w:rsid w:val="005A6736"/>
    <w:rsid w:val="005B4985"/>
    <w:rsid w:val="00652871"/>
    <w:rsid w:val="00694E57"/>
    <w:rsid w:val="006976EB"/>
    <w:rsid w:val="006C6C04"/>
    <w:rsid w:val="006C6D2B"/>
    <w:rsid w:val="006E570D"/>
    <w:rsid w:val="006F4ACF"/>
    <w:rsid w:val="00710036"/>
    <w:rsid w:val="00717526"/>
    <w:rsid w:val="00726F52"/>
    <w:rsid w:val="007407B5"/>
    <w:rsid w:val="00747910"/>
    <w:rsid w:val="00750035"/>
    <w:rsid w:val="0075091C"/>
    <w:rsid w:val="007A51C3"/>
    <w:rsid w:val="007B6C58"/>
    <w:rsid w:val="007B74F2"/>
    <w:rsid w:val="007C4AFD"/>
    <w:rsid w:val="007C60CE"/>
    <w:rsid w:val="007D2516"/>
    <w:rsid w:val="007F6115"/>
    <w:rsid w:val="00813A13"/>
    <w:rsid w:val="008273B9"/>
    <w:rsid w:val="00833454"/>
    <w:rsid w:val="00847479"/>
    <w:rsid w:val="00874EDB"/>
    <w:rsid w:val="00883259"/>
    <w:rsid w:val="008A11D6"/>
    <w:rsid w:val="008C005D"/>
    <w:rsid w:val="008D78CE"/>
    <w:rsid w:val="008F60C5"/>
    <w:rsid w:val="008F64F3"/>
    <w:rsid w:val="00900716"/>
    <w:rsid w:val="00903238"/>
    <w:rsid w:val="00904994"/>
    <w:rsid w:val="00917458"/>
    <w:rsid w:val="00926900"/>
    <w:rsid w:val="00935059"/>
    <w:rsid w:val="00974645"/>
    <w:rsid w:val="0099192F"/>
    <w:rsid w:val="00991CBB"/>
    <w:rsid w:val="00997222"/>
    <w:rsid w:val="009977D8"/>
    <w:rsid w:val="009B61B4"/>
    <w:rsid w:val="009E1A79"/>
    <w:rsid w:val="00A032B6"/>
    <w:rsid w:val="00A21E41"/>
    <w:rsid w:val="00A273D7"/>
    <w:rsid w:val="00A33154"/>
    <w:rsid w:val="00A42F10"/>
    <w:rsid w:val="00A654E1"/>
    <w:rsid w:val="00A962E3"/>
    <w:rsid w:val="00AB0B39"/>
    <w:rsid w:val="00AB326C"/>
    <w:rsid w:val="00AC6E73"/>
    <w:rsid w:val="00AD07B4"/>
    <w:rsid w:val="00AD181A"/>
    <w:rsid w:val="00AE51C6"/>
    <w:rsid w:val="00AF591D"/>
    <w:rsid w:val="00B064A3"/>
    <w:rsid w:val="00B10BA2"/>
    <w:rsid w:val="00B44A22"/>
    <w:rsid w:val="00B64D7E"/>
    <w:rsid w:val="00B75FCB"/>
    <w:rsid w:val="00BB131F"/>
    <w:rsid w:val="00BC52EE"/>
    <w:rsid w:val="00BE7BA6"/>
    <w:rsid w:val="00C039B3"/>
    <w:rsid w:val="00C16206"/>
    <w:rsid w:val="00C3734A"/>
    <w:rsid w:val="00C43442"/>
    <w:rsid w:val="00C77370"/>
    <w:rsid w:val="00CA0625"/>
    <w:rsid w:val="00CA1791"/>
    <w:rsid w:val="00CC555F"/>
    <w:rsid w:val="00D90468"/>
    <w:rsid w:val="00D90A20"/>
    <w:rsid w:val="00D96E34"/>
    <w:rsid w:val="00DA7FF3"/>
    <w:rsid w:val="00DC7E52"/>
    <w:rsid w:val="00E265BC"/>
    <w:rsid w:val="00E37C05"/>
    <w:rsid w:val="00E37FF1"/>
    <w:rsid w:val="00E47763"/>
    <w:rsid w:val="00E6678D"/>
    <w:rsid w:val="00E67E5E"/>
    <w:rsid w:val="00E90DB1"/>
    <w:rsid w:val="00E92C98"/>
    <w:rsid w:val="00E975E9"/>
    <w:rsid w:val="00ED67B4"/>
    <w:rsid w:val="00F16008"/>
    <w:rsid w:val="00F253A2"/>
    <w:rsid w:val="00F27C88"/>
    <w:rsid w:val="00F40B11"/>
    <w:rsid w:val="00F46621"/>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32</cp:revision>
  <cp:lastPrinted>2020-05-25T05:54:00Z</cp:lastPrinted>
  <dcterms:created xsi:type="dcterms:W3CDTF">2020-02-04T08:41:00Z</dcterms:created>
  <dcterms:modified xsi:type="dcterms:W3CDTF">2020-05-25T05:54:00Z</dcterms:modified>
</cp:coreProperties>
</file>