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012EE"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-188595</wp:posOffset>
            </wp:positionH>
            <wp:positionV relativeFrom="paragraph">
              <wp:posOffset>-148590</wp:posOffset>
            </wp:positionV>
            <wp:extent cx="702310" cy="755650"/>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5650"/>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5795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1823B7" w:rsidRPr="001823B7" w:rsidRDefault="001823B7" w:rsidP="00A032B6">
      <w:pPr>
        <w:ind w:left="-181"/>
        <w:jc w:val="center"/>
        <w:rPr>
          <w:b/>
        </w:rPr>
      </w:pPr>
    </w:p>
    <w:p w:rsidR="00E37C05" w:rsidRPr="00E07081" w:rsidRDefault="00E37C05" w:rsidP="00B1321E">
      <w:pPr>
        <w:ind w:left="-181"/>
        <w:jc w:val="center"/>
        <w:rPr>
          <w:b/>
          <w:sz w:val="16"/>
          <w:szCs w:val="16"/>
        </w:rPr>
      </w:pPr>
      <w:r>
        <w:rPr>
          <w:b/>
        </w:rPr>
        <w:t xml:space="preserve">о </w:t>
      </w:r>
      <w:r w:rsidR="00B1321E">
        <w:rPr>
          <w:b/>
        </w:rPr>
        <w:t xml:space="preserve">возвращении </w:t>
      </w:r>
      <w:r w:rsidR="00D237C4">
        <w:rPr>
          <w:b/>
        </w:rPr>
        <w:t xml:space="preserve">искового </w:t>
      </w:r>
      <w:r w:rsidR="00B1321E">
        <w:rPr>
          <w:b/>
        </w:rPr>
        <w:t>заявления</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072322" w:rsidP="004F1394">
            <w:pPr>
              <w:rPr>
                <w:rFonts w:eastAsia="Calibri"/>
                <w:bCs/>
                <w:sz w:val="20"/>
                <w:szCs w:val="20"/>
              </w:rPr>
            </w:pPr>
            <w:r w:rsidRPr="001823B7">
              <w:rPr>
                <w:rFonts w:eastAsia="Calibri"/>
                <w:sz w:val="20"/>
                <w:szCs w:val="20"/>
              </w:rPr>
              <w:t xml:space="preserve"> </w:t>
            </w:r>
            <w:r w:rsidR="00435D1A" w:rsidRPr="004F1394">
              <w:rPr>
                <w:rFonts w:eastAsia="Calibri"/>
                <w:u w:val="single"/>
              </w:rPr>
              <w:t>«</w:t>
            </w:r>
            <w:r w:rsidR="004F1394">
              <w:rPr>
                <w:rFonts w:eastAsia="Calibri"/>
                <w:u w:val="single"/>
              </w:rPr>
              <w:t xml:space="preserve"> </w:t>
            </w:r>
            <w:r w:rsidR="004F1394" w:rsidRPr="004F1394">
              <w:rPr>
                <w:rFonts w:eastAsia="Calibri"/>
                <w:u w:val="single"/>
              </w:rPr>
              <w:t>18</w:t>
            </w:r>
            <w:r w:rsidR="004F1394">
              <w:rPr>
                <w:rFonts w:eastAsia="Calibri"/>
                <w:u w:val="single"/>
              </w:rPr>
              <w:t xml:space="preserve"> </w:t>
            </w:r>
            <w:r w:rsidR="00435D1A" w:rsidRPr="004F1394">
              <w:rPr>
                <w:rFonts w:eastAsia="Calibri"/>
                <w:u w:val="single"/>
              </w:rPr>
              <w:t>»</w:t>
            </w:r>
            <w:r w:rsidR="00B1321E" w:rsidRPr="004F1394">
              <w:rPr>
                <w:rFonts w:eastAsia="Calibri"/>
                <w:u w:val="single"/>
              </w:rPr>
              <w:t xml:space="preserve">  </w:t>
            </w:r>
            <w:r w:rsidR="004F1394" w:rsidRPr="004F1394">
              <w:rPr>
                <w:rFonts w:eastAsia="Calibri"/>
                <w:u w:val="single"/>
              </w:rPr>
              <w:t>марта</w:t>
            </w:r>
            <w:r w:rsidR="00B1321E" w:rsidRPr="004F1394">
              <w:rPr>
                <w:rFonts w:eastAsia="Calibri"/>
                <w:u w:val="single"/>
              </w:rPr>
              <w:t xml:space="preserve">  </w:t>
            </w:r>
            <w:r w:rsidR="00435D1A" w:rsidRPr="004F1394">
              <w:rPr>
                <w:rFonts w:eastAsia="Calibri"/>
                <w:bCs/>
                <w:u w:val="single"/>
              </w:rPr>
              <w:t xml:space="preserve"> 20</w:t>
            </w:r>
            <w:r w:rsidR="00332AFB" w:rsidRPr="004F1394">
              <w:rPr>
                <w:rFonts w:eastAsia="Calibri"/>
                <w:bCs/>
                <w:u w:val="single"/>
              </w:rPr>
              <w:t>20</w:t>
            </w:r>
            <w:r w:rsidR="00B1321E">
              <w:rPr>
                <w:rFonts w:eastAsia="Calibri"/>
                <w:bCs/>
                <w:sz w:val="20"/>
                <w:szCs w:val="20"/>
                <w:u w:val="single"/>
              </w:rPr>
              <w:t xml:space="preserve">  </w:t>
            </w:r>
            <w:r w:rsidR="00435D1A" w:rsidRPr="001823B7">
              <w:rPr>
                <w:rFonts w:eastAsia="Calibri"/>
                <w:bCs/>
                <w:sz w:val="20"/>
                <w:szCs w:val="20"/>
              </w:rPr>
              <w:t>г.</w:t>
            </w:r>
          </w:p>
        </w:tc>
        <w:tc>
          <w:tcPr>
            <w:tcW w:w="4971" w:type="dxa"/>
            <w:gridSpan w:val="3"/>
          </w:tcPr>
          <w:p w:rsidR="00435D1A" w:rsidRPr="004F1394" w:rsidRDefault="00435D1A" w:rsidP="00510142">
            <w:pPr>
              <w:rPr>
                <w:rFonts w:eastAsia="Calibri"/>
                <w:b/>
                <w:bCs/>
                <w:u w:val="single"/>
              </w:rPr>
            </w:pPr>
            <w:r>
              <w:rPr>
                <w:rFonts w:eastAsia="Calibri"/>
                <w:bCs/>
                <w:sz w:val="20"/>
                <w:szCs w:val="20"/>
              </w:rPr>
              <w:t xml:space="preserve">                             </w:t>
            </w:r>
            <w:r w:rsidRPr="00444EB1">
              <w:rPr>
                <w:rFonts w:eastAsia="Calibri"/>
                <w:bCs/>
                <w:sz w:val="20"/>
                <w:szCs w:val="20"/>
              </w:rPr>
              <w:t xml:space="preserve">  </w:t>
            </w:r>
            <w:r w:rsidRPr="004F1394">
              <w:rPr>
                <w:rFonts w:eastAsia="Calibri"/>
                <w:bCs/>
                <w:u w:val="single"/>
              </w:rPr>
              <w:t xml:space="preserve">Дело </w:t>
            </w:r>
            <w:r w:rsidRPr="004F1394">
              <w:rPr>
                <w:rFonts w:eastAsia="Calibri"/>
                <w:u w:val="single"/>
              </w:rPr>
              <w:t xml:space="preserve">№ </w:t>
            </w:r>
            <w:r w:rsidR="00510142">
              <w:rPr>
                <w:rFonts w:eastAsia="Calibri"/>
                <w:u w:val="single"/>
              </w:rPr>
              <w:t xml:space="preserve"> </w:t>
            </w:r>
            <w:r w:rsidR="004F1394" w:rsidRPr="004F1394">
              <w:rPr>
                <w:rFonts w:eastAsia="Calibri"/>
                <w:u w:val="single"/>
              </w:rPr>
              <w:t>194</w:t>
            </w:r>
            <w:r w:rsidR="00B1321E" w:rsidRPr="004F1394">
              <w:rPr>
                <w:rFonts w:eastAsia="Calibri"/>
                <w:u w:val="single"/>
              </w:rPr>
              <w:t>/</w:t>
            </w:r>
            <w:r w:rsidR="00332AFB" w:rsidRPr="004F1394">
              <w:rPr>
                <w:rFonts w:eastAsia="Calibri"/>
                <w:u w:val="single"/>
              </w:rPr>
              <w:t>20</w:t>
            </w:r>
            <w:r w:rsidR="00B1321E" w:rsidRPr="004F1394">
              <w:rPr>
                <w:rFonts w:eastAsia="Calibri"/>
                <w:u w:val="single"/>
              </w:rPr>
              <w:t>-0</w:t>
            </w:r>
            <w:r w:rsidR="004F1394" w:rsidRPr="004F1394">
              <w:rPr>
                <w:rFonts w:eastAsia="Calibri"/>
                <w:u w:val="single"/>
              </w:rPr>
              <w:t>2</w:t>
            </w:r>
            <w:r w:rsidR="00B1321E" w:rsidRPr="004F1394">
              <w:rPr>
                <w:rFonts w:eastAsia="Calibri"/>
                <w:u w:val="single"/>
              </w:rPr>
              <w:t xml:space="preserve">        </w:t>
            </w:r>
            <w:r w:rsidRPr="004F1394">
              <w:rPr>
                <w:rFonts w:eastAsia="Calibri"/>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4F1394" w:rsidTr="00435D1A">
        <w:tc>
          <w:tcPr>
            <w:tcW w:w="1985" w:type="dxa"/>
            <w:gridSpan w:val="2"/>
          </w:tcPr>
          <w:p w:rsidR="008273B9" w:rsidRPr="004F1394" w:rsidRDefault="001823B7" w:rsidP="00F64381">
            <w:pPr>
              <w:rPr>
                <w:rFonts w:eastAsia="Calibri"/>
                <w:b/>
                <w:bCs/>
              </w:rPr>
            </w:pPr>
            <w:r w:rsidRPr="004F1394">
              <w:rPr>
                <w:rFonts w:eastAsia="Calibri"/>
                <w:bCs/>
              </w:rPr>
              <w:t>г. Тирасполь</w:t>
            </w:r>
          </w:p>
        </w:tc>
        <w:tc>
          <w:tcPr>
            <w:tcW w:w="283" w:type="dxa"/>
          </w:tcPr>
          <w:p w:rsidR="008273B9" w:rsidRPr="004F1394" w:rsidRDefault="008273B9" w:rsidP="00F64381">
            <w:pPr>
              <w:rPr>
                <w:rFonts w:eastAsia="Calibri"/>
                <w:b/>
                <w:bCs/>
              </w:rPr>
            </w:pPr>
          </w:p>
        </w:tc>
        <w:tc>
          <w:tcPr>
            <w:tcW w:w="284" w:type="dxa"/>
          </w:tcPr>
          <w:p w:rsidR="008273B9" w:rsidRPr="004F1394" w:rsidRDefault="008273B9" w:rsidP="006E570D">
            <w:pPr>
              <w:jc w:val="center"/>
              <w:rPr>
                <w:rFonts w:eastAsia="Calibri"/>
                <w:b/>
                <w:bCs/>
              </w:rPr>
            </w:pPr>
          </w:p>
        </w:tc>
        <w:tc>
          <w:tcPr>
            <w:tcW w:w="4587" w:type="dxa"/>
            <w:gridSpan w:val="5"/>
          </w:tcPr>
          <w:p w:rsidR="008273B9" w:rsidRPr="004F1394" w:rsidRDefault="008273B9" w:rsidP="006E570D">
            <w:pPr>
              <w:jc w:val="center"/>
              <w:rPr>
                <w:rFonts w:eastAsia="Calibri"/>
                <w:b/>
                <w:bCs/>
              </w:rPr>
            </w:pPr>
          </w:p>
        </w:tc>
        <w:tc>
          <w:tcPr>
            <w:tcW w:w="2784" w:type="dxa"/>
          </w:tcPr>
          <w:p w:rsidR="008273B9" w:rsidRPr="004F1394" w:rsidRDefault="008273B9" w:rsidP="00F64381">
            <w:pPr>
              <w:rPr>
                <w:rFonts w:eastAsia="Calibri"/>
                <w:b/>
                <w:bCs/>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8625C0" w:rsidRDefault="00B1321E" w:rsidP="008625C0">
      <w:pPr>
        <w:ind w:firstLine="567"/>
        <w:jc w:val="both"/>
      </w:pPr>
      <w:r w:rsidRPr="00072322">
        <w:t xml:space="preserve">Арбитражный суд Приднестровской Молдавской Республики в составе судьи </w:t>
      </w:r>
      <w:r w:rsidR="00072322">
        <w:br/>
      </w:r>
      <w:r w:rsidR="00510142">
        <w:t>Качуровской</w:t>
      </w:r>
      <w:r w:rsidR="00510142" w:rsidRPr="00510142">
        <w:t xml:space="preserve"> </w:t>
      </w:r>
      <w:r w:rsidR="00510142">
        <w:t>Е.В.</w:t>
      </w:r>
      <w:r w:rsidRPr="00072322">
        <w:t xml:space="preserve">, рассмотрев вопрос о принятии к производству </w:t>
      </w:r>
      <w:r w:rsidR="00332AFB">
        <w:t xml:space="preserve">искового </w:t>
      </w:r>
      <w:r w:rsidRPr="00072322">
        <w:t>заявления</w:t>
      </w:r>
      <w:r w:rsidR="00332AFB">
        <w:t xml:space="preserve"> </w:t>
      </w:r>
      <w:r w:rsidR="004E2EE0">
        <w:t xml:space="preserve">общества с ограниченной ответственностью «Ликрис» </w:t>
      </w:r>
      <w:r w:rsidR="00332AFB">
        <w:t xml:space="preserve"> (г.</w:t>
      </w:r>
      <w:r w:rsidR="004E2EE0">
        <w:t>Тирасполь ул.Манойлова, д.34</w:t>
      </w:r>
      <w:r w:rsidR="00332AFB">
        <w:t xml:space="preserve">) к </w:t>
      </w:r>
      <w:r w:rsidR="004E2EE0">
        <w:t xml:space="preserve">обществу с ограниченной ответственностью «КаБаРеТ» </w:t>
      </w:r>
      <w:r w:rsidR="00332AFB">
        <w:t>(</w:t>
      </w:r>
      <w:r w:rsidR="004E2EE0">
        <w:t xml:space="preserve">г.Тирасполь ул.Луначарского, д.24, </w:t>
      </w:r>
      <w:r w:rsidR="00332AFB">
        <w:t>г.</w:t>
      </w:r>
      <w:r w:rsidR="004E2EE0">
        <w:t>Тирасполь ул.Плавневая, д.10</w:t>
      </w:r>
      <w:r w:rsidR="00332AFB">
        <w:t>)</w:t>
      </w:r>
      <w:r w:rsidR="008625C0">
        <w:t xml:space="preserve"> о взыскании долга и неустойки</w:t>
      </w:r>
      <w:r w:rsidR="004E2EE0">
        <w:t xml:space="preserve">, </w:t>
      </w:r>
      <w:r w:rsidR="008625C0">
        <w:t xml:space="preserve">и изучив приложенные к нему документы, </w:t>
      </w:r>
    </w:p>
    <w:p w:rsidR="008625C0" w:rsidRPr="00072322" w:rsidRDefault="008625C0" w:rsidP="008625C0">
      <w:pPr>
        <w:ind w:firstLine="567"/>
        <w:jc w:val="both"/>
      </w:pPr>
    </w:p>
    <w:p w:rsidR="00F64381" w:rsidRDefault="00B1321E" w:rsidP="00B1321E">
      <w:pPr>
        <w:ind w:firstLine="567"/>
        <w:jc w:val="center"/>
        <w:rPr>
          <w:b/>
        </w:rPr>
      </w:pPr>
      <w:r w:rsidRPr="00072322">
        <w:rPr>
          <w:b/>
        </w:rPr>
        <w:t>У С Т А Н О В И Л:</w:t>
      </w:r>
    </w:p>
    <w:p w:rsidR="00C652BF" w:rsidRPr="00072322" w:rsidRDefault="00C652BF" w:rsidP="00B1321E">
      <w:pPr>
        <w:ind w:firstLine="567"/>
        <w:jc w:val="center"/>
        <w:rPr>
          <w:b/>
        </w:rPr>
      </w:pPr>
    </w:p>
    <w:p w:rsidR="001C4BFD" w:rsidRDefault="008625C0" w:rsidP="00400068">
      <w:pPr>
        <w:ind w:firstLine="567"/>
        <w:jc w:val="both"/>
      </w:pPr>
      <w:r>
        <w:t xml:space="preserve">Общество с ограниченной ответственностью «Ликрис» </w:t>
      </w:r>
      <w:r w:rsidR="00332AFB">
        <w:t xml:space="preserve">(далее – </w:t>
      </w:r>
      <w:r>
        <w:t xml:space="preserve">ООО «Ликрис», </w:t>
      </w:r>
      <w:r w:rsidR="00332AFB">
        <w:t>истец) обратил</w:t>
      </w:r>
      <w:r>
        <w:t>ось</w:t>
      </w:r>
      <w:r w:rsidR="00332AFB">
        <w:t xml:space="preserve"> в Арбитражный суд </w:t>
      </w:r>
      <w:r>
        <w:t xml:space="preserve">Приднестровской Молдавской Республики (далее Арбитражный суд, суд) </w:t>
      </w:r>
      <w:r w:rsidR="00332AFB">
        <w:t xml:space="preserve">с исковым заявлением к </w:t>
      </w:r>
      <w:r>
        <w:t>обществу с ограниченной ответственностью «КаБаРеТ» (далее ООО «КаБаРеТ», ответчик) о взыскании долга и неустойки</w:t>
      </w:r>
      <w:r w:rsidR="00BB2FB6">
        <w:t xml:space="preserve">. </w:t>
      </w:r>
    </w:p>
    <w:p w:rsidR="00F20BB8" w:rsidRDefault="00F20BB8" w:rsidP="005F4C23">
      <w:pPr>
        <w:ind w:firstLine="567"/>
        <w:jc w:val="both"/>
      </w:pPr>
      <w:r>
        <w:t>В обоснование заявленных требований истец указывает следующее.</w:t>
      </w:r>
    </w:p>
    <w:p w:rsidR="00AB213C" w:rsidRDefault="00400068" w:rsidP="005F4C23">
      <w:pPr>
        <w:ind w:firstLine="567"/>
        <w:jc w:val="both"/>
      </w:pPr>
      <w:r>
        <w:t>ООО «Ликрис» и ООО «КаБаРеТ» 01 июля 2019 г. заключили договор № 35</w:t>
      </w:r>
      <w:r w:rsidRPr="00400068">
        <w:t xml:space="preserve"> </w:t>
      </w:r>
      <w:r>
        <w:t>уступки прав требования</w:t>
      </w:r>
      <w:r w:rsidR="00AB213C">
        <w:t>, возникш</w:t>
      </w:r>
      <w:r w:rsidR="00A355F4">
        <w:t>их</w:t>
      </w:r>
      <w:r>
        <w:t xml:space="preserve"> </w:t>
      </w:r>
      <w:r w:rsidR="00A355F4">
        <w:t xml:space="preserve">у ООО «Ликрис» </w:t>
      </w:r>
      <w:r>
        <w:t xml:space="preserve">на основании договора № Ф/Т/7 от </w:t>
      </w:r>
      <w:r w:rsidR="00A355F4">
        <w:t xml:space="preserve">                  </w:t>
      </w:r>
      <w:r>
        <w:t>01</w:t>
      </w:r>
      <w:r w:rsidR="00AB213C">
        <w:t xml:space="preserve"> апреля </w:t>
      </w:r>
      <w:r>
        <w:t xml:space="preserve">2016  г., заключенного между истцом и ООО «Фуршет». </w:t>
      </w:r>
      <w:r w:rsidR="00AB213C">
        <w:t>Указывает, что ответчик выплатил истцу лишь сумму 10 000 рублей, остаток долга составляет 14 160,41 рублей.</w:t>
      </w:r>
    </w:p>
    <w:p w:rsidR="00400068" w:rsidRDefault="00AB213C" w:rsidP="005F4C23">
      <w:pPr>
        <w:ind w:firstLine="567"/>
        <w:jc w:val="both"/>
      </w:pPr>
      <w:r>
        <w:t xml:space="preserve">09 июля 2019 г. ООО «Ликрис» и ООО «КаБаРеТ» заключили договор поставки </w:t>
      </w:r>
      <w:r w:rsidR="002D49CA">
        <w:t xml:space="preserve">      </w:t>
      </w:r>
      <w:r>
        <w:t xml:space="preserve">№ К/Т/0025, в соответствии с условиями которого истец </w:t>
      </w:r>
      <w:r w:rsidR="002D49CA">
        <w:t>передал</w:t>
      </w:r>
      <w:r>
        <w:t xml:space="preserve"> ответчику товар на общую сумму 11 316,12 рублей. Оплата ответчиком произведена частично, на сумму 5 122,98 рублей. Таким образом, общая сумма задолженности ответчика с учетом принятых обязательств по договору № 35 от 01 июля 2019 г. составляет 20 353,55 рублей. </w:t>
      </w:r>
    </w:p>
    <w:p w:rsidR="00405CBB" w:rsidRDefault="00405CBB" w:rsidP="005F4C23">
      <w:pPr>
        <w:ind w:firstLine="567"/>
        <w:jc w:val="both"/>
      </w:pPr>
      <w:r>
        <w:t xml:space="preserve">Просит взыскать с  ответчика в свою пользу сумму долга в размере 20 353,55 рублей, а также неустойку, предусмотренную п.8.11 договора № К/Т/0025 от 09 июля 2019 г. в размере 4 187,53 рубля. </w:t>
      </w:r>
    </w:p>
    <w:p w:rsidR="003F137D" w:rsidRPr="00E7758A" w:rsidRDefault="001C4BFD" w:rsidP="005F4C23">
      <w:pPr>
        <w:ind w:firstLine="567"/>
        <w:jc w:val="both"/>
        <w:rPr>
          <w:color w:val="000000" w:themeColor="text1"/>
        </w:rPr>
      </w:pPr>
      <w:r w:rsidRPr="00E7758A">
        <w:rPr>
          <w:color w:val="000000" w:themeColor="text1"/>
        </w:rPr>
        <w:t>Обязанность суда принять заявление к производству установлена пунктом 2 статьи 95 АПК ПМР при условии</w:t>
      </w:r>
      <w:r w:rsidR="00784B7A" w:rsidRPr="00E7758A">
        <w:rPr>
          <w:color w:val="000000" w:themeColor="text1"/>
        </w:rPr>
        <w:t xml:space="preserve">, </w:t>
      </w:r>
      <w:r w:rsidR="005F4C23">
        <w:rPr>
          <w:color w:val="000000" w:themeColor="text1"/>
        </w:rPr>
        <w:t>что</w:t>
      </w:r>
      <w:r w:rsidR="00784B7A" w:rsidRPr="00E7758A">
        <w:rPr>
          <w:color w:val="000000" w:themeColor="text1"/>
        </w:rPr>
        <w:t xml:space="preserve"> исковое заявление подано с</w:t>
      </w:r>
      <w:r w:rsidRPr="00E7758A">
        <w:rPr>
          <w:color w:val="000000" w:themeColor="text1"/>
        </w:rPr>
        <w:t xml:space="preserve"> соблюдени</w:t>
      </w:r>
      <w:r w:rsidR="00784B7A" w:rsidRPr="00E7758A">
        <w:rPr>
          <w:color w:val="000000" w:themeColor="text1"/>
        </w:rPr>
        <w:t>ем</w:t>
      </w:r>
      <w:r w:rsidRPr="00E7758A">
        <w:rPr>
          <w:color w:val="000000" w:themeColor="text1"/>
        </w:rPr>
        <w:t xml:space="preserve"> требований, предъявляемых </w:t>
      </w:r>
      <w:r w:rsidR="00601FFE" w:rsidRPr="00E7758A">
        <w:rPr>
          <w:color w:val="000000" w:themeColor="text1"/>
        </w:rPr>
        <w:t>АПК ПМР</w:t>
      </w:r>
      <w:r w:rsidRPr="00E7758A">
        <w:rPr>
          <w:color w:val="000000" w:themeColor="text1"/>
        </w:rPr>
        <w:t xml:space="preserve"> к его форме и содержанию. </w:t>
      </w:r>
    </w:p>
    <w:p w:rsidR="00E7758A" w:rsidRPr="00E7758A" w:rsidRDefault="001C4BFD" w:rsidP="00E7758A">
      <w:pPr>
        <w:ind w:firstLine="709"/>
        <w:jc w:val="both"/>
        <w:rPr>
          <w:color w:val="000000" w:themeColor="text1"/>
        </w:rPr>
      </w:pPr>
      <w:r w:rsidRPr="00E7758A">
        <w:rPr>
          <w:color w:val="000000" w:themeColor="text1"/>
        </w:rPr>
        <w:lastRenderedPageBreak/>
        <w:t xml:space="preserve">Пунктом 1 статьи 94 АПК ПМР </w:t>
      </w:r>
      <w:r w:rsidR="00601FFE" w:rsidRPr="00E7758A">
        <w:rPr>
          <w:color w:val="000000" w:themeColor="text1"/>
        </w:rPr>
        <w:t>истцу</w:t>
      </w:r>
      <w:r w:rsidRPr="00E7758A">
        <w:rPr>
          <w:color w:val="000000" w:themeColor="text1"/>
        </w:rPr>
        <w:t xml:space="preserve"> представлено право соединить в одном заявлении несколько требований,  связанных между собой. </w:t>
      </w:r>
    </w:p>
    <w:p w:rsidR="006534A1" w:rsidRPr="00E7758A" w:rsidRDefault="006534A1" w:rsidP="006534A1">
      <w:pPr>
        <w:ind w:firstLine="709"/>
        <w:jc w:val="both"/>
        <w:rPr>
          <w:color w:val="000000" w:themeColor="text1"/>
        </w:rPr>
      </w:pPr>
      <w:r w:rsidRPr="00E7758A">
        <w:rPr>
          <w:color w:val="000000" w:themeColor="text1"/>
        </w:rPr>
        <w:t xml:space="preserve">Общие основания возникновения требований имеют место в том случае, когда основанием каждого из них является один и тот же юридический факт. </w:t>
      </w:r>
    </w:p>
    <w:p w:rsidR="00862E42" w:rsidRPr="00E7758A" w:rsidRDefault="006534A1" w:rsidP="00862E42">
      <w:pPr>
        <w:ind w:firstLine="709"/>
        <w:jc w:val="both"/>
        <w:rPr>
          <w:color w:val="000000" w:themeColor="text1"/>
        </w:rPr>
      </w:pPr>
      <w:r>
        <w:rPr>
          <w:color w:val="000000" w:themeColor="text1"/>
        </w:rPr>
        <w:t>С</w:t>
      </w:r>
      <w:r w:rsidR="003F137D" w:rsidRPr="00E7758A">
        <w:rPr>
          <w:color w:val="000000" w:themeColor="text1"/>
        </w:rPr>
        <w:t xml:space="preserve">огласно </w:t>
      </w:r>
      <w:r w:rsidR="00862E42" w:rsidRPr="00E7758A">
        <w:rPr>
          <w:color w:val="000000" w:themeColor="text1"/>
        </w:rPr>
        <w:t xml:space="preserve">п.1,3 </w:t>
      </w:r>
      <w:r w:rsidR="003F137D" w:rsidRPr="00E7758A">
        <w:rPr>
          <w:color w:val="000000" w:themeColor="text1"/>
        </w:rPr>
        <w:t xml:space="preserve">Постановления Пленума Арбитражного суда Приднестровской Молдавской Республики от 18 марта 2005 года «О применении статьи 94  Арбитражного процессуального кодекса  ПМР при рассмотрении дел в суде первой инстанции» </w:t>
      </w:r>
      <w:r w:rsidR="00862E42" w:rsidRPr="00E7758A">
        <w:rPr>
          <w:color w:val="000000" w:themeColor="text1"/>
        </w:rPr>
        <w:t>с</w:t>
      </w:r>
      <w:r w:rsidR="00862E42" w:rsidRPr="00E7758A">
        <w:rPr>
          <w:color w:val="000000" w:themeColor="text1"/>
          <w:szCs w:val="18"/>
        </w:rPr>
        <w:t>оединение истцом нескольких требований может иметь место, когда они связаны между собой по основаниям возникновения или представленным доказательствам.</w:t>
      </w:r>
      <w:r w:rsidR="00862E42" w:rsidRPr="00E7758A">
        <w:rPr>
          <w:color w:val="000000" w:themeColor="text1"/>
        </w:rPr>
        <w:t xml:space="preserve">                   </w:t>
      </w:r>
    </w:p>
    <w:p w:rsidR="003F137D" w:rsidRPr="00E7758A" w:rsidRDefault="00862E42" w:rsidP="00862E42">
      <w:pPr>
        <w:pStyle w:val="ae"/>
        <w:ind w:firstLine="709"/>
        <w:rPr>
          <w:color w:val="000000" w:themeColor="text1"/>
        </w:rPr>
      </w:pPr>
      <w:r w:rsidRPr="00E7758A">
        <w:rPr>
          <w:color w:val="000000" w:themeColor="text1"/>
        </w:rPr>
        <w:t xml:space="preserve">Связь требований по основаниям возникновения означает,  что их предметы имеют общее основание, </w:t>
      </w:r>
      <w:r w:rsidR="005F4C23">
        <w:rPr>
          <w:color w:val="000000" w:themeColor="text1"/>
        </w:rPr>
        <w:t>либо</w:t>
      </w:r>
      <w:r w:rsidRPr="00E7758A">
        <w:rPr>
          <w:color w:val="000000" w:themeColor="text1"/>
        </w:rPr>
        <w:t xml:space="preserve"> при таком соотношении требований между собой, при котором удовлетворение одного требования невозможно до удовлетворения другого. Связь требований по представленным  доказательствам  существует тогда, когда  истцом при доказывании каждого из требований используются одни и те же доказательства.</w:t>
      </w:r>
    </w:p>
    <w:p w:rsidR="00862E42" w:rsidRDefault="00862E42" w:rsidP="00862E42">
      <w:pPr>
        <w:pStyle w:val="ae"/>
        <w:ind w:firstLine="709"/>
        <w:rPr>
          <w:color w:val="000000" w:themeColor="text1"/>
        </w:rPr>
      </w:pPr>
      <w:r w:rsidRPr="00E7758A">
        <w:rPr>
          <w:color w:val="000000" w:themeColor="text1"/>
        </w:rPr>
        <w:t>Установление судом при принятии иска отсутствия либо недостаточности связи между требованиями является достаточным процессуальным основанием для возвращения искового заявления (п.п.б п.1 ст.97 АПК).</w:t>
      </w:r>
    </w:p>
    <w:p w:rsidR="00F1772D" w:rsidRPr="00F1772D" w:rsidRDefault="001C4BFD" w:rsidP="001C4BFD">
      <w:pPr>
        <w:ind w:firstLine="709"/>
        <w:jc w:val="both"/>
        <w:rPr>
          <w:color w:val="000000" w:themeColor="text1"/>
        </w:rPr>
      </w:pPr>
      <w:r w:rsidRPr="00F1772D">
        <w:rPr>
          <w:color w:val="000000" w:themeColor="text1"/>
        </w:rPr>
        <w:t xml:space="preserve">Изучив </w:t>
      </w:r>
      <w:r w:rsidR="00601FFE" w:rsidRPr="00F1772D">
        <w:rPr>
          <w:color w:val="000000" w:themeColor="text1"/>
        </w:rPr>
        <w:t xml:space="preserve">содержание </w:t>
      </w:r>
      <w:r w:rsidRPr="00F1772D">
        <w:rPr>
          <w:color w:val="000000" w:themeColor="text1"/>
        </w:rPr>
        <w:t xml:space="preserve">искового заявления </w:t>
      </w:r>
      <w:r w:rsidR="00601FFE" w:rsidRPr="00F1772D">
        <w:rPr>
          <w:color w:val="000000" w:themeColor="text1"/>
        </w:rPr>
        <w:t>и приложенные к нему документы</w:t>
      </w:r>
      <w:r w:rsidRPr="00F1772D">
        <w:rPr>
          <w:color w:val="000000" w:themeColor="text1"/>
        </w:rPr>
        <w:t xml:space="preserve">, суд приходит к выводу о том, что истцом заявлены </w:t>
      </w:r>
      <w:r w:rsidR="006534A1">
        <w:rPr>
          <w:color w:val="000000" w:themeColor="text1"/>
        </w:rPr>
        <w:t>не связанные между собой</w:t>
      </w:r>
      <w:r w:rsidR="006534A1" w:rsidRPr="00F1772D">
        <w:rPr>
          <w:color w:val="000000" w:themeColor="text1"/>
        </w:rPr>
        <w:t xml:space="preserve"> </w:t>
      </w:r>
      <w:r w:rsidRPr="00F1772D">
        <w:rPr>
          <w:color w:val="000000" w:themeColor="text1"/>
        </w:rPr>
        <w:t>требования</w:t>
      </w:r>
      <w:r w:rsidR="00601FFE" w:rsidRPr="00F1772D">
        <w:rPr>
          <w:color w:val="000000" w:themeColor="text1"/>
        </w:rPr>
        <w:t>,</w:t>
      </w:r>
      <w:r w:rsidRPr="00F1772D">
        <w:rPr>
          <w:color w:val="000000" w:themeColor="text1"/>
        </w:rPr>
        <w:t xml:space="preserve"> </w:t>
      </w:r>
      <w:r w:rsidR="00601FFE" w:rsidRPr="00F1772D">
        <w:rPr>
          <w:color w:val="000000" w:themeColor="text1"/>
        </w:rPr>
        <w:t>вытекающие из различных договоров, не имеющи</w:t>
      </w:r>
      <w:r w:rsidR="005F4C23">
        <w:rPr>
          <w:color w:val="000000" w:themeColor="text1"/>
        </w:rPr>
        <w:t>х</w:t>
      </w:r>
      <w:r w:rsidR="00601FFE" w:rsidRPr="00F1772D">
        <w:rPr>
          <w:color w:val="000000" w:themeColor="text1"/>
        </w:rPr>
        <w:t xml:space="preserve"> общего основания</w:t>
      </w:r>
      <w:r w:rsidR="00F1772D" w:rsidRPr="00F1772D">
        <w:rPr>
          <w:color w:val="000000" w:themeColor="text1"/>
        </w:rPr>
        <w:t xml:space="preserve">, </w:t>
      </w:r>
      <w:r w:rsidR="00601FFE" w:rsidRPr="00F1772D">
        <w:rPr>
          <w:color w:val="000000" w:themeColor="text1"/>
        </w:rPr>
        <w:t>общих доказательств</w:t>
      </w:r>
      <w:r w:rsidR="00F1772D" w:rsidRPr="00F1772D">
        <w:rPr>
          <w:color w:val="000000" w:themeColor="text1"/>
        </w:rPr>
        <w:t xml:space="preserve">, и, </w:t>
      </w:r>
      <w:r w:rsidR="00F1772D" w:rsidRPr="00F1772D">
        <w:rPr>
          <w:color w:val="000000"/>
        </w:rPr>
        <w:t>согласно АПК ПМР</w:t>
      </w:r>
      <w:r w:rsidR="00F1772D" w:rsidRPr="00F1772D">
        <w:rPr>
          <w:color w:val="000000" w:themeColor="text1"/>
        </w:rPr>
        <w:t>,</w:t>
      </w:r>
      <w:r w:rsidR="00F1772D" w:rsidRPr="00F1772D">
        <w:rPr>
          <w:color w:val="000000"/>
        </w:rPr>
        <w:t xml:space="preserve"> не подлежа</w:t>
      </w:r>
      <w:r w:rsidR="00F1772D" w:rsidRPr="00F1772D">
        <w:rPr>
          <w:color w:val="000000" w:themeColor="text1"/>
        </w:rPr>
        <w:t>щие</w:t>
      </w:r>
      <w:r w:rsidR="00F1772D" w:rsidRPr="00F1772D">
        <w:rPr>
          <w:color w:val="000000"/>
        </w:rPr>
        <w:t xml:space="preserve"> рассмотрению в одном производств</w:t>
      </w:r>
      <w:r w:rsidR="00F1772D" w:rsidRPr="00F1772D">
        <w:rPr>
          <w:color w:val="000000" w:themeColor="text1"/>
        </w:rPr>
        <w:t>е.</w:t>
      </w:r>
    </w:p>
    <w:p w:rsidR="00601FFE" w:rsidRDefault="00601FFE" w:rsidP="00601FFE">
      <w:pPr>
        <w:ind w:firstLine="709"/>
        <w:jc w:val="both"/>
      </w:pPr>
      <w:r w:rsidRPr="00F1772D">
        <w:rPr>
          <w:color w:val="000000" w:themeColor="text1"/>
        </w:rPr>
        <w:t xml:space="preserve">Так, требования ООО «Ликрис» к ООО «КаБаРеТ» о взыскании долга, основанные на договоре </w:t>
      </w:r>
      <w:r w:rsidR="005F4C23" w:rsidRPr="00F1772D">
        <w:rPr>
          <w:color w:val="000000" w:themeColor="text1"/>
        </w:rPr>
        <w:t>№ 35  от 01 июля</w:t>
      </w:r>
      <w:r w:rsidR="005F4C23">
        <w:t xml:space="preserve"> 2019 г. </w:t>
      </w:r>
      <w:r w:rsidRPr="00F1772D">
        <w:rPr>
          <w:color w:val="000000" w:themeColor="text1"/>
        </w:rPr>
        <w:t>уступки прав требовани</w:t>
      </w:r>
      <w:r w:rsidR="005F4C23">
        <w:rPr>
          <w:color w:val="000000" w:themeColor="text1"/>
        </w:rPr>
        <w:t>й</w:t>
      </w:r>
      <w:r>
        <w:t xml:space="preserve"> к ООО «Фуршет», возникших на основании</w:t>
      </w:r>
      <w:r w:rsidR="00DE53A9">
        <w:t xml:space="preserve"> заключенного 01 апреля 2016 г.</w:t>
      </w:r>
      <w:r>
        <w:t xml:space="preserve"> договора № Ф</w:t>
      </w:r>
      <w:r w:rsidR="00DE53A9">
        <w:t>/Т/7</w:t>
      </w:r>
      <w:r>
        <w:t>,  не имеют общих оснований</w:t>
      </w:r>
      <w:r w:rsidR="003F137D">
        <w:t xml:space="preserve"> и</w:t>
      </w:r>
      <w:r>
        <w:t xml:space="preserve"> доказательств с требованиями ООО «Ликрис» к ООО «КаБаРеТ»</w:t>
      </w:r>
      <w:r w:rsidR="003F137D">
        <w:t xml:space="preserve"> о взыскании задолженности и неустойки</w:t>
      </w:r>
      <w:r>
        <w:t>, вытекающих из заключенного 09 июля 2019 г. договора поставки № К/Т/0025</w:t>
      </w:r>
      <w:r w:rsidR="003F137D">
        <w:t>.</w:t>
      </w:r>
      <w:r>
        <w:t xml:space="preserve"> </w:t>
      </w:r>
    </w:p>
    <w:p w:rsidR="001C4BFD" w:rsidRPr="0090725E" w:rsidRDefault="00A36E62" w:rsidP="001C4BFD">
      <w:pPr>
        <w:tabs>
          <w:tab w:val="left" w:pos="8378"/>
          <w:tab w:val="left" w:pos="9088"/>
        </w:tabs>
        <w:ind w:right="-1" w:firstLine="709"/>
        <w:jc w:val="both"/>
      </w:pPr>
      <w:r w:rsidRPr="00810239">
        <w:t xml:space="preserve">Указанное свидетельствует о наличии оснований для возвращения искового заявления </w:t>
      </w:r>
      <w:r w:rsidR="001C4BFD" w:rsidRPr="00810239">
        <w:t>в соответствии с подпунктом б) пункта 1 статьи 97 АПК ПМР</w:t>
      </w:r>
      <w:r w:rsidRPr="00810239">
        <w:t>, согласно которому судья возвращает исковое заявление и приложенные к нему документы</w:t>
      </w:r>
      <w:r w:rsidR="00810239" w:rsidRPr="00810239">
        <w:t>,</w:t>
      </w:r>
      <w:r w:rsidRPr="00810239">
        <w:t xml:space="preserve">  если в одном исковом заявлении соединены несколько требований к </w:t>
      </w:r>
      <w:r w:rsidR="00DE53A9">
        <w:t xml:space="preserve">одному или </w:t>
      </w:r>
      <w:r w:rsidRPr="00810239">
        <w:t xml:space="preserve">нескольким </w:t>
      </w:r>
      <w:r w:rsidRPr="0090725E">
        <w:t>ответчикам, когда эти требования не связаны между собой</w:t>
      </w:r>
      <w:r w:rsidR="001C4BFD" w:rsidRPr="0090725E">
        <w:t>.</w:t>
      </w:r>
    </w:p>
    <w:p w:rsidR="00697FF4" w:rsidRPr="0090725E" w:rsidRDefault="00697FF4" w:rsidP="0090725E">
      <w:pPr>
        <w:pStyle w:val="af0"/>
        <w:ind w:firstLine="720"/>
        <w:jc w:val="both"/>
        <w:rPr>
          <w:rFonts w:ascii="Times New Roman" w:hAnsi="Times New Roman" w:cs="Times New Roman"/>
          <w:color w:val="000000" w:themeColor="text1"/>
          <w:sz w:val="24"/>
          <w:szCs w:val="24"/>
        </w:rPr>
      </w:pPr>
      <w:r w:rsidRPr="0090725E">
        <w:rPr>
          <w:rFonts w:ascii="Times New Roman" w:hAnsi="Times New Roman" w:cs="Times New Roman"/>
          <w:sz w:val="24"/>
          <w:szCs w:val="24"/>
        </w:rPr>
        <w:t>Согласно п.</w:t>
      </w:r>
      <w:r w:rsidR="0090725E" w:rsidRPr="0090725E">
        <w:rPr>
          <w:rFonts w:ascii="Times New Roman" w:hAnsi="Times New Roman" w:cs="Times New Roman"/>
          <w:sz w:val="24"/>
          <w:szCs w:val="24"/>
        </w:rPr>
        <w:t>1,</w:t>
      </w:r>
      <w:r w:rsidRPr="0090725E">
        <w:rPr>
          <w:rFonts w:ascii="Times New Roman" w:hAnsi="Times New Roman" w:cs="Times New Roman"/>
          <w:sz w:val="24"/>
          <w:szCs w:val="24"/>
        </w:rPr>
        <w:t xml:space="preserve">3 статьи 82 АПК ПМР </w:t>
      </w:r>
      <w:r w:rsidR="0090725E" w:rsidRPr="0090725E">
        <w:rPr>
          <w:rFonts w:ascii="Times New Roman" w:hAnsi="Times New Roman" w:cs="Times New Roman"/>
          <w:sz w:val="24"/>
          <w:szCs w:val="24"/>
        </w:rPr>
        <w:t>государственная пошлина подлежит возврату в соответствии с законом. П</w:t>
      </w:r>
      <w:r w:rsidRPr="0090725E">
        <w:rPr>
          <w:rFonts w:ascii="Times New Roman" w:hAnsi="Times New Roman" w:cs="Times New Roman"/>
          <w:sz w:val="24"/>
          <w:szCs w:val="24"/>
        </w:rPr>
        <w:t xml:space="preserve">о заявлениям, оплаченным государственной пошлиной, но не поступившим в арбитражный суд или им возвращенным, ее возвращение производится на </w:t>
      </w:r>
      <w:r w:rsidRPr="0090725E">
        <w:rPr>
          <w:rFonts w:ascii="Times New Roman" w:hAnsi="Times New Roman" w:cs="Times New Roman"/>
          <w:color w:val="000000" w:themeColor="text1"/>
          <w:sz w:val="24"/>
          <w:szCs w:val="24"/>
        </w:rPr>
        <w:t>основании выданной судом справки.</w:t>
      </w:r>
    </w:p>
    <w:p w:rsidR="0090725E" w:rsidRDefault="0090725E" w:rsidP="0090725E">
      <w:pPr>
        <w:pStyle w:val="af0"/>
        <w:ind w:firstLine="720"/>
        <w:jc w:val="both"/>
        <w:rPr>
          <w:rFonts w:ascii="Times New Roman" w:hAnsi="Times New Roman" w:cs="Times New Roman"/>
          <w:color w:val="000000" w:themeColor="text1"/>
          <w:sz w:val="24"/>
          <w:szCs w:val="24"/>
        </w:rPr>
      </w:pPr>
      <w:r w:rsidRPr="0090725E">
        <w:rPr>
          <w:rFonts w:ascii="Times New Roman" w:hAnsi="Times New Roman" w:cs="Times New Roman"/>
          <w:color w:val="000000" w:themeColor="text1"/>
          <w:sz w:val="24"/>
          <w:szCs w:val="24"/>
        </w:rPr>
        <w:t>В силу п.4, 5 ст.6 Закона ПМР «О государственной пошлине», уплаченная государственная пошлина подлежит возврату частично или полностью в случае возвращения заявления судами. Возврат уплаченной в государственный бюджет государственной пошлины производится по заявлениям, подаваемым в налоговый орган, в течение года со дня принятия соответствующего решения, определения суда.</w:t>
      </w:r>
    </w:p>
    <w:p w:rsidR="001B1070" w:rsidRDefault="00EC1852" w:rsidP="0090725E">
      <w:pPr>
        <w:pStyle w:val="af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усматривается из</w:t>
      </w:r>
      <w:r w:rsidR="0090725E">
        <w:rPr>
          <w:rFonts w:ascii="Times New Roman" w:hAnsi="Times New Roman" w:cs="Times New Roman"/>
          <w:color w:val="000000" w:themeColor="text1"/>
          <w:sz w:val="24"/>
          <w:szCs w:val="24"/>
        </w:rPr>
        <w:t xml:space="preserve"> </w:t>
      </w:r>
      <w:r w:rsidR="001B1070">
        <w:rPr>
          <w:rFonts w:ascii="Times New Roman" w:hAnsi="Times New Roman" w:cs="Times New Roman"/>
          <w:color w:val="000000" w:themeColor="text1"/>
          <w:sz w:val="24"/>
          <w:szCs w:val="24"/>
        </w:rPr>
        <w:t xml:space="preserve">приложенных к исковому заявлению документов, в подтверждение оплаты </w:t>
      </w:r>
      <w:r w:rsidR="00E64BAE">
        <w:rPr>
          <w:rFonts w:ascii="Times New Roman" w:hAnsi="Times New Roman" w:cs="Times New Roman"/>
          <w:color w:val="000000" w:themeColor="text1"/>
          <w:sz w:val="24"/>
          <w:szCs w:val="24"/>
        </w:rPr>
        <w:t xml:space="preserve">ООО «Ликрикс» </w:t>
      </w:r>
      <w:r w:rsidR="001B1070">
        <w:rPr>
          <w:rFonts w:ascii="Times New Roman" w:hAnsi="Times New Roman" w:cs="Times New Roman"/>
          <w:color w:val="000000" w:themeColor="text1"/>
          <w:sz w:val="24"/>
          <w:szCs w:val="24"/>
        </w:rPr>
        <w:t xml:space="preserve">госпошлины </w:t>
      </w:r>
      <w:r w:rsidR="00E64BAE">
        <w:rPr>
          <w:rFonts w:ascii="Times New Roman" w:hAnsi="Times New Roman" w:cs="Times New Roman"/>
          <w:color w:val="000000" w:themeColor="text1"/>
          <w:sz w:val="24"/>
          <w:szCs w:val="24"/>
        </w:rPr>
        <w:t xml:space="preserve">в бюджет через НИ по г.Тирасполь </w:t>
      </w:r>
      <w:r w:rsidR="001B1070">
        <w:rPr>
          <w:rFonts w:ascii="Times New Roman" w:hAnsi="Times New Roman" w:cs="Times New Roman"/>
          <w:color w:val="000000" w:themeColor="text1"/>
          <w:sz w:val="24"/>
          <w:szCs w:val="24"/>
        </w:rPr>
        <w:t xml:space="preserve">в суд представлена незаверенная  надлежащим образом </w:t>
      </w:r>
      <w:r w:rsidR="0090725E">
        <w:rPr>
          <w:rFonts w:ascii="Times New Roman" w:hAnsi="Times New Roman" w:cs="Times New Roman"/>
          <w:color w:val="000000" w:themeColor="text1"/>
          <w:sz w:val="24"/>
          <w:szCs w:val="24"/>
        </w:rPr>
        <w:t>копи</w:t>
      </w:r>
      <w:r w:rsidR="001B1070">
        <w:rPr>
          <w:rFonts w:ascii="Times New Roman" w:hAnsi="Times New Roman" w:cs="Times New Roman"/>
          <w:color w:val="000000" w:themeColor="text1"/>
          <w:sz w:val="24"/>
          <w:szCs w:val="24"/>
        </w:rPr>
        <w:t>я</w:t>
      </w:r>
      <w:r w:rsidR="0090725E">
        <w:rPr>
          <w:rFonts w:ascii="Times New Roman" w:hAnsi="Times New Roman" w:cs="Times New Roman"/>
          <w:color w:val="000000" w:themeColor="text1"/>
          <w:sz w:val="24"/>
          <w:szCs w:val="24"/>
        </w:rPr>
        <w:t xml:space="preserve"> платежного поручения № 863 от 17 марта 2020 г.</w:t>
      </w:r>
      <w:r w:rsidR="0039158C">
        <w:rPr>
          <w:rFonts w:ascii="Times New Roman" w:hAnsi="Times New Roman" w:cs="Times New Roman"/>
          <w:color w:val="000000" w:themeColor="text1"/>
          <w:sz w:val="24"/>
          <w:szCs w:val="24"/>
        </w:rPr>
        <w:t xml:space="preserve"> </w:t>
      </w:r>
      <w:r w:rsidR="00E64BAE">
        <w:rPr>
          <w:rFonts w:ascii="Times New Roman" w:hAnsi="Times New Roman" w:cs="Times New Roman"/>
          <w:color w:val="000000" w:themeColor="text1"/>
          <w:sz w:val="24"/>
          <w:szCs w:val="24"/>
        </w:rPr>
        <w:t>на сумму</w:t>
      </w:r>
      <w:r w:rsidR="0039158C">
        <w:rPr>
          <w:rFonts w:ascii="Times New Roman" w:hAnsi="Times New Roman" w:cs="Times New Roman"/>
          <w:color w:val="000000" w:themeColor="text1"/>
          <w:sz w:val="24"/>
          <w:szCs w:val="24"/>
        </w:rPr>
        <w:t xml:space="preserve"> 1 081,64 рубля.</w:t>
      </w:r>
      <w:r w:rsidR="001B1070" w:rsidRPr="001B1070">
        <w:rPr>
          <w:rFonts w:ascii="Times New Roman" w:hAnsi="Times New Roman" w:cs="Times New Roman"/>
          <w:color w:val="000000" w:themeColor="text1"/>
          <w:sz w:val="24"/>
          <w:szCs w:val="24"/>
        </w:rPr>
        <w:t xml:space="preserve"> </w:t>
      </w:r>
    </w:p>
    <w:p w:rsidR="001B1070" w:rsidRDefault="001B1070" w:rsidP="0090725E">
      <w:pPr>
        <w:pStyle w:val="af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Учитывая, что не представлен оригинал или заверенная копия платежного поручения, вопрос о возврате уплаченной госпошлины Арбитражным судом не рассматривается. При этом суд полагает необходимым разъяснить истцу возможность представления надлежащих доказательств уплаты госпошлины для разрешения вопроса о выдаче </w:t>
      </w:r>
      <w:r w:rsidR="00037DDB">
        <w:rPr>
          <w:rFonts w:ascii="Times New Roman" w:hAnsi="Times New Roman" w:cs="Times New Roman"/>
          <w:color w:val="000000" w:themeColor="text1"/>
          <w:sz w:val="24"/>
          <w:szCs w:val="24"/>
        </w:rPr>
        <w:t xml:space="preserve">судом </w:t>
      </w:r>
      <w:r>
        <w:rPr>
          <w:rFonts w:ascii="Times New Roman" w:hAnsi="Times New Roman" w:cs="Times New Roman"/>
          <w:color w:val="000000" w:themeColor="text1"/>
          <w:sz w:val="24"/>
          <w:szCs w:val="24"/>
        </w:rPr>
        <w:t xml:space="preserve">справки о возврате уплаченной госпошлины. </w:t>
      </w:r>
    </w:p>
    <w:p w:rsidR="001C4BFD" w:rsidRPr="00072322" w:rsidRDefault="001C4BFD" w:rsidP="001C4BFD">
      <w:pPr>
        <w:ind w:firstLine="720"/>
        <w:jc w:val="both"/>
      </w:pPr>
      <w:r w:rsidRPr="00072322">
        <w:lastRenderedPageBreak/>
        <w:t xml:space="preserve">Принимая во внимание изложенное, руководствуясь </w:t>
      </w:r>
      <w:r w:rsidRPr="00072322">
        <w:rPr>
          <w:color w:val="000000"/>
        </w:rPr>
        <w:t>подпунктом б) пункта 1</w:t>
      </w:r>
      <w:r w:rsidR="000D7748">
        <w:rPr>
          <w:color w:val="000000"/>
        </w:rPr>
        <w:t>, пункта 4</w:t>
      </w:r>
      <w:r w:rsidRPr="00072322">
        <w:rPr>
          <w:color w:val="000000"/>
        </w:rPr>
        <w:t xml:space="preserve"> статьи 97</w:t>
      </w:r>
      <w:r w:rsidRPr="00072322">
        <w:t>, статьёй 128 АПК ПМР, Арбитражный суд Приднестровской Молдавской Республики,</w:t>
      </w:r>
    </w:p>
    <w:p w:rsidR="001C4BFD" w:rsidRDefault="001C4BFD" w:rsidP="001C4BFD">
      <w:pPr>
        <w:ind w:firstLine="720"/>
        <w:jc w:val="center"/>
        <w:outlineLvl w:val="0"/>
        <w:rPr>
          <w:b/>
        </w:rPr>
      </w:pPr>
      <w:r w:rsidRPr="00072322">
        <w:rPr>
          <w:b/>
        </w:rPr>
        <w:t>О П Р Е Д Е Л И Л:</w:t>
      </w:r>
    </w:p>
    <w:p w:rsidR="005F4C23" w:rsidRDefault="005F4C23" w:rsidP="001C4BFD">
      <w:pPr>
        <w:ind w:firstLine="720"/>
        <w:jc w:val="center"/>
        <w:outlineLvl w:val="0"/>
        <w:rPr>
          <w:b/>
        </w:rPr>
      </w:pPr>
    </w:p>
    <w:p w:rsidR="001C4BFD" w:rsidRPr="00072322" w:rsidRDefault="001C4BFD" w:rsidP="001C4BFD">
      <w:pPr>
        <w:numPr>
          <w:ilvl w:val="0"/>
          <w:numId w:val="2"/>
        </w:numPr>
        <w:ind w:left="0" w:firstLine="709"/>
        <w:jc w:val="both"/>
      </w:pPr>
      <w:r>
        <w:t>Исковое з</w:t>
      </w:r>
      <w:r w:rsidRPr="00072322">
        <w:t xml:space="preserve">аявление </w:t>
      </w:r>
      <w:r w:rsidR="00DE53A9">
        <w:t xml:space="preserve">общества с ограниченной ответственностью «Ликрис»  к обществу с ограниченной ответственностью «КаБаРеТ» о взыскании долга и неустойки, возвратить с приложенными к нему документами. </w:t>
      </w:r>
    </w:p>
    <w:p w:rsidR="001C4BFD" w:rsidRDefault="001C4BFD" w:rsidP="001C4BFD">
      <w:pPr>
        <w:numPr>
          <w:ilvl w:val="0"/>
          <w:numId w:val="2"/>
        </w:numPr>
        <w:ind w:left="0" w:firstLine="709"/>
        <w:jc w:val="both"/>
      </w:pPr>
      <w:r w:rsidRPr="00072322">
        <w:t xml:space="preserve">Разъяснить, что возвращение </w:t>
      </w:r>
      <w:r w:rsidR="00DE53A9">
        <w:t xml:space="preserve">искового </w:t>
      </w:r>
      <w:r w:rsidRPr="00072322">
        <w:t>заявления не препятствует вторичному обращению с ним в арбитражный суд в общем порядке после устранения допущенных нарушений.</w:t>
      </w:r>
    </w:p>
    <w:p w:rsidR="001C4BFD" w:rsidRDefault="001C4BFD" w:rsidP="001C4BFD">
      <w:pPr>
        <w:ind w:firstLine="709"/>
        <w:jc w:val="both"/>
        <w:outlineLvl w:val="0"/>
      </w:pPr>
      <w:r w:rsidRPr="00072322">
        <w:t>Определение о возвращении искового заявления может быть обжаловано в течение 15 (пятнадцати) дней со дня вынесения.</w:t>
      </w:r>
    </w:p>
    <w:p w:rsidR="00C652BF" w:rsidRPr="00072322" w:rsidRDefault="00C652BF" w:rsidP="001C4BFD">
      <w:pPr>
        <w:ind w:firstLine="709"/>
        <w:jc w:val="both"/>
        <w:outlineLvl w:val="0"/>
      </w:pPr>
    </w:p>
    <w:p w:rsidR="001C4BFD" w:rsidRDefault="001C4BFD" w:rsidP="001C4BFD">
      <w:pPr>
        <w:ind w:firstLine="720"/>
        <w:jc w:val="both"/>
        <w:outlineLvl w:val="0"/>
      </w:pPr>
      <w:r w:rsidRPr="00072322">
        <w:t>Приложение:</w:t>
      </w:r>
      <w:r w:rsidR="000D7748">
        <w:t xml:space="preserve"> исковое</w:t>
      </w:r>
      <w:r w:rsidRPr="00072322">
        <w:t xml:space="preserve"> заявление с приложени</w:t>
      </w:r>
      <w:r w:rsidR="000D7748">
        <w:t>ем</w:t>
      </w:r>
      <w:r w:rsidRPr="00072322">
        <w:t xml:space="preserve"> к нему на </w:t>
      </w:r>
      <w:r w:rsidR="00F1772D">
        <w:t>38</w:t>
      </w:r>
      <w:r w:rsidRPr="00072322">
        <w:t xml:space="preserve"> листах.</w:t>
      </w:r>
    </w:p>
    <w:p w:rsidR="005F4C23" w:rsidRDefault="005F4C23" w:rsidP="001C4BFD">
      <w:pPr>
        <w:ind w:firstLine="720"/>
        <w:jc w:val="both"/>
        <w:outlineLvl w:val="0"/>
      </w:pPr>
    </w:p>
    <w:p w:rsidR="00510142" w:rsidRDefault="00510142" w:rsidP="001C4BFD">
      <w:pPr>
        <w:ind w:firstLine="720"/>
        <w:jc w:val="both"/>
        <w:outlineLvl w:val="0"/>
      </w:pPr>
    </w:p>
    <w:p w:rsidR="001C4BFD" w:rsidRPr="00072322" w:rsidRDefault="001C4BFD" w:rsidP="001C4BFD">
      <w:pPr>
        <w:jc w:val="both"/>
        <w:outlineLvl w:val="0"/>
        <w:rPr>
          <w:b/>
        </w:rPr>
      </w:pPr>
      <w:r w:rsidRPr="00072322">
        <w:rPr>
          <w:b/>
        </w:rPr>
        <w:t xml:space="preserve">Судья Арбитражного суда </w:t>
      </w:r>
    </w:p>
    <w:p w:rsidR="00916749" w:rsidRDefault="001C4BFD" w:rsidP="001C4BFD">
      <w:pPr>
        <w:jc w:val="both"/>
        <w:rPr>
          <w:b/>
        </w:rPr>
      </w:pPr>
      <w:r w:rsidRPr="00072322">
        <w:rPr>
          <w:b/>
        </w:rPr>
        <w:t xml:space="preserve">Приднестровской Молдавской Республики              </w:t>
      </w:r>
      <w:r w:rsidR="00510142">
        <w:rPr>
          <w:b/>
        </w:rPr>
        <w:t xml:space="preserve">                           </w:t>
      </w:r>
      <w:r w:rsidR="005A3A34">
        <w:rPr>
          <w:b/>
        </w:rPr>
        <w:t xml:space="preserve">    </w:t>
      </w:r>
      <w:r w:rsidR="00510142">
        <w:rPr>
          <w:b/>
        </w:rPr>
        <w:t>Е.В.Качуровская</w:t>
      </w:r>
      <w:r w:rsidRPr="00072322">
        <w:rPr>
          <w:b/>
        </w:rPr>
        <w:t xml:space="preserve"> </w:t>
      </w:r>
    </w:p>
    <w:p w:rsidR="00B218D4" w:rsidRPr="00B218D4" w:rsidRDefault="00B218D4" w:rsidP="001C4BFD">
      <w:pPr>
        <w:jc w:val="both"/>
        <w:rPr>
          <w:b/>
        </w:rPr>
      </w:pPr>
    </w:p>
    <w:p w:rsidR="00B218D4" w:rsidRPr="00B218D4" w:rsidRDefault="00B218D4" w:rsidP="001C4BFD">
      <w:pPr>
        <w:jc w:val="both"/>
        <w:rPr>
          <w:b/>
        </w:rPr>
      </w:pPr>
    </w:p>
    <w:p w:rsidR="00B218D4" w:rsidRPr="00B218D4" w:rsidRDefault="00B218D4" w:rsidP="001C4BFD">
      <w:pPr>
        <w:jc w:val="both"/>
      </w:pPr>
    </w:p>
    <w:p w:rsidR="00B218D4" w:rsidRPr="00FE1E26" w:rsidRDefault="00B218D4" w:rsidP="00B218D4">
      <w:pPr>
        <w:pStyle w:val="af0"/>
        <w:ind w:firstLine="720"/>
        <w:jc w:val="both"/>
        <w:rPr>
          <w:rFonts w:ascii="Times New Roman" w:hAnsi="Times New Roman" w:cs="Times New Roman"/>
          <w:sz w:val="28"/>
          <w:szCs w:val="28"/>
        </w:rPr>
      </w:pPr>
    </w:p>
    <w:p w:rsidR="00B218D4" w:rsidRPr="00072322" w:rsidRDefault="00B218D4" w:rsidP="001C4BFD">
      <w:pPr>
        <w:jc w:val="both"/>
        <w:rPr>
          <w:b/>
        </w:rPr>
      </w:pPr>
    </w:p>
    <w:sectPr w:rsidR="00B218D4" w:rsidRPr="00072322" w:rsidSect="00072322">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50A" w:rsidRDefault="0038050A" w:rsidP="00747910">
      <w:r>
        <w:separator/>
      </w:r>
    </w:p>
  </w:endnote>
  <w:endnote w:type="continuationSeparator" w:id="1">
    <w:p w:rsidR="0038050A" w:rsidRDefault="0038050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22" w:rsidRDefault="00A57951">
    <w:pPr>
      <w:pStyle w:val="a7"/>
      <w:jc w:val="right"/>
    </w:pPr>
    <w:fldSimple w:instr=" PAGE   \* MERGEFORMAT ">
      <w:r w:rsidR="00E64BAE">
        <w:rPr>
          <w:noProof/>
        </w:rPr>
        <w:t>3</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50A" w:rsidRDefault="0038050A" w:rsidP="00747910">
      <w:r>
        <w:separator/>
      </w:r>
    </w:p>
  </w:footnote>
  <w:footnote w:type="continuationSeparator" w:id="1">
    <w:p w:rsidR="0038050A" w:rsidRDefault="0038050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B70"/>
    <w:rsid w:val="00037DDB"/>
    <w:rsid w:val="000400F3"/>
    <w:rsid w:val="00072322"/>
    <w:rsid w:val="00081B5A"/>
    <w:rsid w:val="000A1EF9"/>
    <w:rsid w:val="000C4089"/>
    <w:rsid w:val="000C4195"/>
    <w:rsid w:val="000C512D"/>
    <w:rsid w:val="000C64A5"/>
    <w:rsid w:val="000D7748"/>
    <w:rsid w:val="000E2672"/>
    <w:rsid w:val="000E5906"/>
    <w:rsid w:val="001823B7"/>
    <w:rsid w:val="001979FD"/>
    <w:rsid w:val="001A48C1"/>
    <w:rsid w:val="001B1070"/>
    <w:rsid w:val="001B445C"/>
    <w:rsid w:val="001C1B4F"/>
    <w:rsid w:val="001C4BFD"/>
    <w:rsid w:val="001D3D23"/>
    <w:rsid w:val="0020698E"/>
    <w:rsid w:val="00212E13"/>
    <w:rsid w:val="002431E5"/>
    <w:rsid w:val="0026059C"/>
    <w:rsid w:val="002935E2"/>
    <w:rsid w:val="002A613D"/>
    <w:rsid w:val="002D2926"/>
    <w:rsid w:val="002D49CA"/>
    <w:rsid w:val="00303D72"/>
    <w:rsid w:val="00307CA5"/>
    <w:rsid w:val="00332AFB"/>
    <w:rsid w:val="003331A5"/>
    <w:rsid w:val="00361CF0"/>
    <w:rsid w:val="00365A17"/>
    <w:rsid w:val="0038050A"/>
    <w:rsid w:val="00381CF3"/>
    <w:rsid w:val="0039158C"/>
    <w:rsid w:val="003948D7"/>
    <w:rsid w:val="003A617A"/>
    <w:rsid w:val="003C103A"/>
    <w:rsid w:val="003F137D"/>
    <w:rsid w:val="00400068"/>
    <w:rsid w:val="00405CBB"/>
    <w:rsid w:val="00424065"/>
    <w:rsid w:val="00435D1A"/>
    <w:rsid w:val="00444EB1"/>
    <w:rsid w:val="004A01C7"/>
    <w:rsid w:val="004B0F41"/>
    <w:rsid w:val="004C56EA"/>
    <w:rsid w:val="004C701C"/>
    <w:rsid w:val="004E2EE0"/>
    <w:rsid w:val="004F1394"/>
    <w:rsid w:val="004F7B6D"/>
    <w:rsid w:val="005012EE"/>
    <w:rsid w:val="00510142"/>
    <w:rsid w:val="0051667D"/>
    <w:rsid w:val="00533BE1"/>
    <w:rsid w:val="00534BC7"/>
    <w:rsid w:val="005A3A34"/>
    <w:rsid w:val="005A6736"/>
    <w:rsid w:val="005F4C23"/>
    <w:rsid w:val="00601FFE"/>
    <w:rsid w:val="006453CA"/>
    <w:rsid w:val="00647911"/>
    <w:rsid w:val="006534A1"/>
    <w:rsid w:val="006556DA"/>
    <w:rsid w:val="00694E57"/>
    <w:rsid w:val="006976EB"/>
    <w:rsid w:val="00697FF4"/>
    <w:rsid w:val="006C6D2B"/>
    <w:rsid w:val="006E570D"/>
    <w:rsid w:val="00710036"/>
    <w:rsid w:val="00717526"/>
    <w:rsid w:val="00747910"/>
    <w:rsid w:val="00750035"/>
    <w:rsid w:val="0075091C"/>
    <w:rsid w:val="00784B7A"/>
    <w:rsid w:val="007A2FD2"/>
    <w:rsid w:val="007A51C3"/>
    <w:rsid w:val="007F6115"/>
    <w:rsid w:val="00810239"/>
    <w:rsid w:val="00813A13"/>
    <w:rsid w:val="008273B9"/>
    <w:rsid w:val="008275DA"/>
    <w:rsid w:val="00833454"/>
    <w:rsid w:val="008625C0"/>
    <w:rsid w:val="00862E42"/>
    <w:rsid w:val="0087583B"/>
    <w:rsid w:val="008A11D6"/>
    <w:rsid w:val="008F60C5"/>
    <w:rsid w:val="008F64F3"/>
    <w:rsid w:val="00900716"/>
    <w:rsid w:val="00903238"/>
    <w:rsid w:val="00904994"/>
    <w:rsid w:val="0090725E"/>
    <w:rsid w:val="009116FE"/>
    <w:rsid w:val="00916749"/>
    <w:rsid w:val="00917458"/>
    <w:rsid w:val="00924ECD"/>
    <w:rsid w:val="00926900"/>
    <w:rsid w:val="00991CBB"/>
    <w:rsid w:val="00997222"/>
    <w:rsid w:val="009977D8"/>
    <w:rsid w:val="009B61B4"/>
    <w:rsid w:val="009D779C"/>
    <w:rsid w:val="00A032B6"/>
    <w:rsid w:val="00A2170A"/>
    <w:rsid w:val="00A355F4"/>
    <w:rsid w:val="00A36E62"/>
    <w:rsid w:val="00A42F10"/>
    <w:rsid w:val="00A57951"/>
    <w:rsid w:val="00A654E1"/>
    <w:rsid w:val="00A6609F"/>
    <w:rsid w:val="00A76E96"/>
    <w:rsid w:val="00AB213C"/>
    <w:rsid w:val="00AB326C"/>
    <w:rsid w:val="00AC6E73"/>
    <w:rsid w:val="00AE51C6"/>
    <w:rsid w:val="00AF591D"/>
    <w:rsid w:val="00B01D04"/>
    <w:rsid w:val="00B1321E"/>
    <w:rsid w:val="00B218D4"/>
    <w:rsid w:val="00B84FAB"/>
    <w:rsid w:val="00BB2FB6"/>
    <w:rsid w:val="00BE7BA6"/>
    <w:rsid w:val="00C3734A"/>
    <w:rsid w:val="00C43442"/>
    <w:rsid w:val="00C55E95"/>
    <w:rsid w:val="00C652BF"/>
    <w:rsid w:val="00C77370"/>
    <w:rsid w:val="00CA1791"/>
    <w:rsid w:val="00CC555F"/>
    <w:rsid w:val="00D237C4"/>
    <w:rsid w:val="00D55D26"/>
    <w:rsid w:val="00D90A20"/>
    <w:rsid w:val="00D96E34"/>
    <w:rsid w:val="00DE53A9"/>
    <w:rsid w:val="00E265BC"/>
    <w:rsid w:val="00E37C05"/>
    <w:rsid w:val="00E37FF1"/>
    <w:rsid w:val="00E47763"/>
    <w:rsid w:val="00E64BAE"/>
    <w:rsid w:val="00E6678D"/>
    <w:rsid w:val="00E67E5E"/>
    <w:rsid w:val="00E7758A"/>
    <w:rsid w:val="00E90DB1"/>
    <w:rsid w:val="00E92C98"/>
    <w:rsid w:val="00E975E9"/>
    <w:rsid w:val="00EC1852"/>
    <w:rsid w:val="00ED67B4"/>
    <w:rsid w:val="00EE6AF6"/>
    <w:rsid w:val="00F16008"/>
    <w:rsid w:val="00F1772D"/>
    <w:rsid w:val="00F20BB8"/>
    <w:rsid w:val="00F253A2"/>
    <w:rsid w:val="00F64381"/>
    <w:rsid w:val="00F72C4D"/>
    <w:rsid w:val="00FA6E55"/>
    <w:rsid w:val="00FF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79C"/>
    <w:rPr>
      <w:sz w:val="24"/>
      <w:szCs w:val="24"/>
    </w:rPr>
  </w:style>
  <w:style w:type="paragraph" w:styleId="1">
    <w:name w:val="heading 1"/>
    <w:basedOn w:val="a"/>
    <w:next w:val="a"/>
    <w:link w:val="10"/>
    <w:qFormat/>
    <w:rsid w:val="003F137D"/>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332AFB"/>
    <w:rPr>
      <w:rFonts w:ascii="Tahoma" w:hAnsi="Tahoma" w:cs="Tahoma"/>
      <w:sz w:val="16"/>
      <w:szCs w:val="16"/>
    </w:rPr>
  </w:style>
  <w:style w:type="character" w:customStyle="1" w:styleId="ab">
    <w:name w:val="Схема документа Знак"/>
    <w:basedOn w:val="a0"/>
    <w:link w:val="aa"/>
    <w:rsid w:val="00332AFB"/>
    <w:rPr>
      <w:rFonts w:ascii="Tahoma" w:hAnsi="Tahoma" w:cs="Tahoma"/>
      <w:sz w:val="16"/>
      <w:szCs w:val="16"/>
    </w:rPr>
  </w:style>
  <w:style w:type="character" w:customStyle="1" w:styleId="10">
    <w:name w:val="Заголовок 1 Знак"/>
    <w:basedOn w:val="a0"/>
    <w:link w:val="1"/>
    <w:rsid w:val="003F137D"/>
    <w:rPr>
      <w:sz w:val="24"/>
    </w:rPr>
  </w:style>
  <w:style w:type="paragraph" w:styleId="ac">
    <w:name w:val="Title"/>
    <w:basedOn w:val="a"/>
    <w:link w:val="ad"/>
    <w:qFormat/>
    <w:rsid w:val="003F137D"/>
    <w:pPr>
      <w:jc w:val="center"/>
    </w:pPr>
    <w:rPr>
      <w:b/>
      <w:szCs w:val="20"/>
    </w:rPr>
  </w:style>
  <w:style w:type="character" w:customStyle="1" w:styleId="ad">
    <w:name w:val="Название Знак"/>
    <w:basedOn w:val="a0"/>
    <w:link w:val="ac"/>
    <w:rsid w:val="003F137D"/>
    <w:rPr>
      <w:b/>
      <w:sz w:val="24"/>
    </w:rPr>
  </w:style>
  <w:style w:type="paragraph" w:styleId="ae">
    <w:name w:val="Body Text"/>
    <w:basedOn w:val="a"/>
    <w:link w:val="af"/>
    <w:rsid w:val="00862E42"/>
    <w:pPr>
      <w:jc w:val="both"/>
    </w:pPr>
    <w:rPr>
      <w:szCs w:val="20"/>
    </w:rPr>
  </w:style>
  <w:style w:type="character" w:customStyle="1" w:styleId="af">
    <w:name w:val="Основной текст Знак"/>
    <w:basedOn w:val="a0"/>
    <w:link w:val="ae"/>
    <w:rsid w:val="00862E42"/>
    <w:rPr>
      <w:sz w:val="24"/>
    </w:rPr>
  </w:style>
  <w:style w:type="paragraph" w:styleId="HTML">
    <w:name w:val="HTML Preformatted"/>
    <w:basedOn w:val="a"/>
    <w:link w:val="HTML0"/>
    <w:rsid w:val="0086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0"/>
    <w:link w:val="HTML"/>
    <w:rsid w:val="00862E42"/>
    <w:rPr>
      <w:rFonts w:ascii="Arial Unicode MS" w:eastAsia="Arial Unicode MS" w:hAnsi="Arial Unicode MS" w:cs="Arial Unicode MS"/>
      <w:color w:val="000000"/>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1"/>
    <w:rsid w:val="00B218D4"/>
    <w:rPr>
      <w:rFonts w:ascii="Courier New" w:hAnsi="Courier New" w:cs="Courier New"/>
      <w:sz w:val="20"/>
      <w:szCs w:val="20"/>
    </w:rPr>
  </w:style>
  <w:style w:type="character" w:customStyle="1" w:styleId="af1">
    <w:name w:val="Текст Знак"/>
    <w:basedOn w:val="a0"/>
    <w:link w:val="af0"/>
    <w:rsid w:val="00B218D4"/>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0"/>
    <w:rsid w:val="00B218D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8958323">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33</cp:revision>
  <cp:lastPrinted>2020-03-19T06:41:00Z</cp:lastPrinted>
  <dcterms:created xsi:type="dcterms:W3CDTF">2020-03-18T11:26:00Z</dcterms:created>
  <dcterms:modified xsi:type="dcterms:W3CDTF">2020-03-19T06:41:00Z</dcterms:modified>
</cp:coreProperties>
</file>