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074FA" w:rsidRPr="001823B7" w:rsidTr="005074FA">
        <w:trPr>
          <w:trHeight w:val="259"/>
        </w:trPr>
        <w:tc>
          <w:tcPr>
            <w:tcW w:w="3969" w:type="dxa"/>
          </w:tcPr>
          <w:p w:rsidR="005074FA" w:rsidRPr="004920E2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2509328</wp:posOffset>
                  </wp:positionH>
                  <wp:positionV relativeFrom="paragraph">
                    <wp:posOffset>36692</wp:posOffset>
                  </wp:positionV>
                  <wp:extent cx="704518" cy="755374"/>
                  <wp:effectExtent l="19050" t="0" r="332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83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074FA" w:rsidRPr="001823B7" w:rsidTr="005074FA">
        <w:tc>
          <w:tcPr>
            <w:tcW w:w="3969" w:type="dxa"/>
          </w:tcPr>
          <w:p w:rsidR="005074FA" w:rsidRPr="004920E2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74FA" w:rsidRPr="001823B7" w:rsidTr="005074FA">
        <w:tc>
          <w:tcPr>
            <w:tcW w:w="3969" w:type="dxa"/>
          </w:tcPr>
          <w:p w:rsidR="005074FA" w:rsidRPr="004920E2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074FA" w:rsidRPr="005D45AA" w:rsidRDefault="005074FA" w:rsidP="005074F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D45A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74FA" w:rsidRPr="005D45AA" w:rsidTr="005074FA">
        <w:trPr>
          <w:trHeight w:val="342"/>
        </w:trPr>
        <w:tc>
          <w:tcPr>
            <w:tcW w:w="3888" w:type="dxa"/>
            <w:shd w:val="clear" w:color="auto" w:fill="auto"/>
          </w:tcPr>
          <w:p w:rsidR="005074FA" w:rsidRPr="005D45AA" w:rsidRDefault="005074FA" w:rsidP="005074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74FA" w:rsidRPr="005D45AA" w:rsidRDefault="005074FA" w:rsidP="005074F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D45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D45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074FA" w:rsidRPr="005D45AA" w:rsidRDefault="005074FA" w:rsidP="005074F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074FA" w:rsidRPr="005D45AA" w:rsidRDefault="005074FA" w:rsidP="005074F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5D45A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5074FA" w:rsidRPr="005D45AA" w:rsidRDefault="005074FA" w:rsidP="0050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FA" w:rsidRPr="005D45AA" w:rsidRDefault="005074FA" w:rsidP="0050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74FA" w:rsidRPr="005D45AA" w:rsidRDefault="005074FA" w:rsidP="0050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74FA" w:rsidRPr="005D45AA" w:rsidRDefault="005074FA" w:rsidP="005074F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074FA" w:rsidRPr="005D45AA" w:rsidRDefault="005074FA" w:rsidP="005074F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D45A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45A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45A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r w:rsidRPr="005D45A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74FA" w:rsidRPr="005D45AA" w:rsidRDefault="00E326F8" w:rsidP="005074F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074FA" w:rsidRPr="005D45AA" w:rsidRDefault="005074FA" w:rsidP="005074F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D45A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D45A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74FA" w:rsidRPr="005D45AA" w:rsidRDefault="005074FA" w:rsidP="0050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5074FA" w:rsidRPr="005D45AA" w:rsidRDefault="005074FA" w:rsidP="005074F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074FA" w:rsidRPr="005D45AA" w:rsidTr="005074FA">
        <w:trPr>
          <w:trHeight w:val="259"/>
        </w:trPr>
        <w:tc>
          <w:tcPr>
            <w:tcW w:w="4956" w:type="dxa"/>
            <w:gridSpan w:val="7"/>
            <w:hideMark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13 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387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074FA" w:rsidRPr="005D45AA" w:rsidTr="005074FA">
        <w:tc>
          <w:tcPr>
            <w:tcW w:w="1200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074FA" w:rsidRPr="005D45AA" w:rsidRDefault="005074FA" w:rsidP="005074F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4FA" w:rsidRPr="005D45AA" w:rsidTr="005074FA">
        <w:tc>
          <w:tcPr>
            <w:tcW w:w="1987" w:type="dxa"/>
            <w:gridSpan w:val="2"/>
            <w:hideMark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74FA" w:rsidRPr="005D45AA" w:rsidRDefault="005074FA" w:rsidP="00507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074FA" w:rsidRPr="005D45AA" w:rsidRDefault="005074FA" w:rsidP="00507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4FA" w:rsidRPr="005D45AA" w:rsidTr="005074FA">
        <w:tc>
          <w:tcPr>
            <w:tcW w:w="1200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4FA" w:rsidRPr="005D45AA" w:rsidTr="005074FA">
        <w:tc>
          <w:tcPr>
            <w:tcW w:w="1200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074FA" w:rsidRPr="005D45AA" w:rsidRDefault="005074FA" w:rsidP="00507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И. П., продолжив с согласия лиц, участвующих в деле, рассмотрение в открытом судебном заседании искового заявления Министерства юстиции Приднестровской Молдавской Республики (г. Тирасполь, ул. Ленина, д. 26) </w:t>
      </w:r>
      <w:r w:rsidRPr="005D45AA">
        <w:rPr>
          <w:rStyle w:val="FontStyle14"/>
          <w:sz w:val="24"/>
          <w:szCs w:val="24"/>
        </w:rPr>
        <w:t>к обществу с ограниченной ответственностью «Виллана» (</w:t>
      </w:r>
      <w:proofErr w:type="spellStart"/>
      <w:r w:rsidRPr="005D45AA">
        <w:rPr>
          <w:rStyle w:val="FontStyle14"/>
          <w:sz w:val="24"/>
          <w:szCs w:val="24"/>
        </w:rPr>
        <w:t>Слободзейский</w:t>
      </w:r>
      <w:proofErr w:type="spellEnd"/>
      <w:r w:rsidRPr="005D45AA">
        <w:rPr>
          <w:rStyle w:val="FontStyle14"/>
          <w:sz w:val="24"/>
          <w:szCs w:val="24"/>
        </w:rPr>
        <w:t xml:space="preserve"> </w:t>
      </w:r>
      <w:proofErr w:type="spellStart"/>
      <w:r w:rsidRPr="005D45AA">
        <w:rPr>
          <w:rStyle w:val="FontStyle14"/>
          <w:sz w:val="24"/>
          <w:szCs w:val="24"/>
        </w:rPr>
        <w:t>р-он</w:t>
      </w:r>
      <w:proofErr w:type="spellEnd"/>
      <w:r w:rsidRPr="005D45AA">
        <w:rPr>
          <w:rStyle w:val="FontStyle14"/>
          <w:sz w:val="24"/>
          <w:szCs w:val="24"/>
        </w:rPr>
        <w:t>, с. Ближний Хутор, ул. Коммунистическая, д. 46 «А») о ликвидации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 с участием в деле третьих лиц</w:t>
      </w:r>
      <w:proofErr w:type="gramEnd"/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, не заявляющих самостоятельных требований на предмет </w:t>
      </w:r>
      <w:proofErr w:type="spellStart"/>
      <w:r w:rsidR="001D3129">
        <w:rPr>
          <w:rFonts w:ascii="Times New Roman" w:eastAsia="Times New Roman" w:hAnsi="Times New Roman" w:cs="Times New Roman"/>
          <w:sz w:val="24"/>
          <w:szCs w:val="24"/>
        </w:rPr>
        <w:t>спора</w:t>
      </w:r>
      <w:proofErr w:type="gramStart"/>
      <w:r w:rsidR="001D3129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="001D3129">
        <w:rPr>
          <w:rFonts w:ascii="Times New Roman" w:eastAsia="Times New Roman" w:hAnsi="Times New Roman" w:cs="Times New Roman"/>
          <w:sz w:val="24"/>
          <w:szCs w:val="24"/>
        </w:rPr>
        <w:t>бертун</w:t>
      </w:r>
      <w:proofErr w:type="spellEnd"/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 А.В. (г. Тирасполь, ул. К.Маркса, д. 133, кв. 16), Удовиченко В.В. (г. Тирасполь, ул. Жуковского д.17, кв. 24),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истца  – Щербины Е.Б. по доверенности  от 6 сентября 2018 года № 01.1-36/610,</w:t>
      </w:r>
    </w:p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А. В., ру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ководителя согласно выписке из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ГРЮЛ, </w:t>
      </w:r>
    </w:p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третьего лица -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Дынул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С. М. по доверенности от 12 марта 2018 года,</w:t>
      </w:r>
    </w:p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третьего лица – Ткаченко С. О. по доверенности от 28 ноября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4F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4F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074FA" w:rsidRPr="005D45A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4F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июня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2019 года к производству Арбитражного суда принято исковое заявление Министерства юстиции Приднестровской Молдавской Республики (далее – МЮ ПМР, истец) к обществу с ограниченной ответственностью «Виллана» (далее – ООО «Виллана», ответчик) о ликвидации. </w:t>
      </w:r>
    </w:p>
    <w:p w:rsidR="005074F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</w:rPr>
        <w:t>13 августа 2019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года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</w:rPr>
        <w:t>частвующими в деле заявлены устные ходатайства о приобщении к материалам дела дополнительных доказательств. Рассмотрев таковые, Арбитражный суд удовлетворил их, о чем вынесены продольные определения без оформления отдельн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порядке пункта 3 статьи 128 АПК ПМР. </w:t>
      </w:r>
    </w:p>
    <w:p w:rsidR="005074FA" w:rsidRDefault="005074FA" w:rsidP="005074F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ходе судебного заседания представителем третьего лица заявлено ходатайство о приостановлении производства по делу, мотивированное тем обстоятельством, что в производстве Тираспольского городского суда находится гражданское дело по исковому заявлению  Удовиченко В.В.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и Иванову К.П. о признании соглашения об отступном недействительным. </w:t>
      </w:r>
    </w:p>
    <w:p w:rsidR="001A697C" w:rsidRDefault="005074FA" w:rsidP="001A697C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материалам дела приобщена копия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 xml:space="preserve"> указанного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заявления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следует, что Удовиченко В.В.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будучи участником ООО «Виллана»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оспаривает в судебном порядке соглашение об отступном, согласно которо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недвижимое имущество, расположенное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Ближний Хутор,  ул. Коммунистическая д.  46 «а»,  перешло в собственность физического лица – Иванова К.П. </w:t>
      </w:r>
    </w:p>
    <w:p w:rsidR="005074FA" w:rsidRDefault="005074FA" w:rsidP="001A697C">
      <w:pPr>
        <w:autoSpaceDE w:val="0"/>
        <w:autoSpaceDN w:val="0"/>
        <w:adjustRightInd w:val="0"/>
        <w:spacing w:after="0" w:line="240" w:lineRule="auto"/>
        <w:ind w:left="-284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содержания искового заявления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юстиции о ликвидац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«Виллана» следует, что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для обращения с таковым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>несоответстви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сведений, содержащихся в ГРЮЛ в отношении юридического адреса ООО «Виллана». А именно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в исковом заявлении указывается о том,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>юридическим адресом ООО «Виллана» согласно ГРЮЛ является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053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053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, с. Ближний Хутор,  ул. </w:t>
      </w:r>
      <w:proofErr w:type="gramStart"/>
      <w:r w:rsidR="00BE1053">
        <w:rPr>
          <w:rFonts w:ascii="Times New Roman" w:eastAsia="Times New Roman" w:hAnsi="Times New Roman" w:cs="Times New Roman"/>
          <w:sz w:val="24"/>
          <w:szCs w:val="24"/>
        </w:rPr>
        <w:t>Коммунистическая</w:t>
      </w:r>
      <w:proofErr w:type="gramEnd"/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д.  46 «а», при этом недвижимое имущество, расположенное по данному адресу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 xml:space="preserve">не ООО «Виллана», а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физическому лицу – Иванову В.К. </w:t>
      </w:r>
    </w:p>
    <w:p w:rsidR="00053EEC" w:rsidRDefault="00053EEC" w:rsidP="001A697C">
      <w:pPr>
        <w:autoSpaceDE w:val="0"/>
        <w:autoSpaceDN w:val="0"/>
        <w:adjustRightInd w:val="0"/>
        <w:spacing w:after="0" w:line="240" w:lineRule="auto"/>
        <w:ind w:left="-142" w:right="-3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при рассмотрении данного искового заявления Арбитражному суду надлежит установить факт принадлежности недвижимого имущества, расположенного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Ближний Хутор,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д.  46 «а» Иванову К.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следствие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несоответствия сведений, содержащихся в ГРЮЛ в отношении ООО «Виллана».</w:t>
      </w:r>
    </w:p>
    <w:p w:rsidR="00BE1053" w:rsidRDefault="00BE1053" w:rsidP="001A697C">
      <w:pPr>
        <w:autoSpaceDE w:val="0"/>
        <w:autoSpaceDN w:val="0"/>
        <w:adjustRightInd w:val="0"/>
        <w:spacing w:after="0" w:line="240" w:lineRule="auto"/>
        <w:ind w:left="-142" w:right="-3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следует из материалов дела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Иванова </w:t>
      </w:r>
      <w:r w:rsidR="001D3129">
        <w:rPr>
          <w:rFonts w:ascii="Times New Roman" w:eastAsia="Times New Roman" w:hAnsi="Times New Roman" w:cs="Times New Roman"/>
          <w:sz w:val="24"/>
          <w:szCs w:val="24"/>
        </w:rPr>
        <w:t>К.П.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названный объект недвижимого имущества оспаривается по иску Удовиченко В.В. и данное исковое заявление находится в производстве Тираспольского городского суда.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 xml:space="preserve">Данное обстоятельство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 xml:space="preserve">копией искового заявления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Тираспольского городского суда от  8 мая 2019 года. </w:t>
      </w:r>
    </w:p>
    <w:p w:rsidR="00BE1053" w:rsidRDefault="00BE1053" w:rsidP="001A697C">
      <w:pPr>
        <w:autoSpaceDE w:val="0"/>
        <w:autoSpaceDN w:val="0"/>
        <w:adjustRightInd w:val="0"/>
        <w:spacing w:after="0" w:line="240" w:lineRule="auto"/>
        <w:ind w:left="-142" w:right="-3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изложенного выше Арбитражный суд приходит к выводу о невозможности  установления факта несоответствия сведений ГРЮЛ о юридическом адресе  ООО «Виллана» ввиду принадлежности имущества 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 xml:space="preserve">Иванову В.К.  </w:t>
      </w:r>
      <w:r>
        <w:rPr>
          <w:rFonts w:ascii="Times New Roman" w:eastAsia="Times New Roman" w:hAnsi="Times New Roman" w:cs="Times New Roman"/>
          <w:sz w:val="24"/>
          <w:szCs w:val="24"/>
        </w:rPr>
        <w:t>до рассмотрения дела Тираспольском городским судом по исков</w:t>
      </w:r>
      <w:r w:rsidR="00053EEC">
        <w:rPr>
          <w:rFonts w:ascii="Times New Roman" w:eastAsia="Times New Roman" w:hAnsi="Times New Roman" w:cs="Times New Roman"/>
          <w:sz w:val="24"/>
          <w:szCs w:val="24"/>
        </w:rPr>
        <w:t>ому заявлению Удовиченко В.В.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признании соглашения об отступном недействительным. </w:t>
      </w:r>
    </w:p>
    <w:p w:rsidR="00BE1053" w:rsidRDefault="00053EEC" w:rsidP="001A697C">
      <w:pPr>
        <w:autoSpaceDE w:val="0"/>
        <w:autoSpaceDN w:val="0"/>
        <w:adjustRightInd w:val="0"/>
        <w:spacing w:after="0" w:line="240" w:lineRule="auto"/>
        <w:ind w:left="-142" w:right="-3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>невозможност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ью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указного выше факта Арбитражный суд приходит к выводу о невозможности рассмотрения настоящего дела по существу, до рассмотрения дела Тираспольском городским судом по исковому заявлению Удовиченко В.В. о  признании соглашения об отступном недействительным и вступления судебного акта по таковому в законную силу. Данное обстоятельство в силу подпункта 1) пункта 1 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1053">
        <w:rPr>
          <w:rFonts w:ascii="Times New Roman" w:eastAsia="Times New Roman" w:hAnsi="Times New Roman" w:cs="Times New Roman"/>
          <w:sz w:val="24"/>
          <w:szCs w:val="24"/>
        </w:rPr>
        <w:t xml:space="preserve"> 70 АПК ПМР является основанием для приостановления производства по делу.  </w:t>
      </w:r>
    </w:p>
    <w:p w:rsidR="00BE1053" w:rsidRDefault="00BE1053" w:rsidP="001A697C">
      <w:pPr>
        <w:autoSpaceDE w:val="0"/>
        <w:autoSpaceDN w:val="0"/>
        <w:adjustRightInd w:val="0"/>
        <w:spacing w:after="0" w:line="240" w:lineRule="auto"/>
        <w:ind w:left="-142" w:right="-3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ходатайство Удовиченко В.В.  подлежит удовлетворению, а производство по делу № 387/19-12– приостановлению до разрешения Тираспольским городским судом искового заявления Удовиченко В.В. о признании соглашения об отступном недействительным</w:t>
      </w:r>
      <w:r w:rsidR="00053EEC">
        <w:rPr>
          <w:rFonts w:ascii="Times New Roman" w:hAnsi="Times New Roman" w:cs="Times New Roman"/>
          <w:sz w:val="24"/>
          <w:szCs w:val="24"/>
        </w:rPr>
        <w:t xml:space="preserve"> и вступления судебного акта по данному делу </w:t>
      </w:r>
      <w:r w:rsidR="001D3129">
        <w:rPr>
          <w:rFonts w:ascii="Times New Roman" w:hAnsi="Times New Roman" w:cs="Times New Roman"/>
          <w:sz w:val="24"/>
          <w:szCs w:val="24"/>
        </w:rPr>
        <w:t>в</w:t>
      </w:r>
      <w:r w:rsidR="00053EEC">
        <w:rPr>
          <w:rFonts w:ascii="Times New Roman" w:hAnsi="Times New Roman" w:cs="Times New Roman"/>
          <w:sz w:val="24"/>
          <w:szCs w:val="24"/>
        </w:rPr>
        <w:t xml:space="preserve"> законную силу.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107, 128, подпунктом 1) пункта 1 статьи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914E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pStyle w:val="a5"/>
        <w:numPr>
          <w:ilvl w:val="0"/>
          <w:numId w:val="2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>
        <w:rPr>
          <w:rFonts w:ascii="Times New Roman" w:hAnsi="Times New Roman" w:cs="Times New Roman"/>
          <w:sz w:val="24"/>
          <w:szCs w:val="24"/>
        </w:rPr>
        <w:t xml:space="preserve">Удовиченко В.В.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053EEC" w:rsidRDefault="00BE1053" w:rsidP="001A697C">
      <w:pPr>
        <w:pStyle w:val="a5"/>
        <w:numPr>
          <w:ilvl w:val="0"/>
          <w:numId w:val="2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EEC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№ 387/19-12 до </w:t>
      </w:r>
      <w:r w:rsidR="00053EEC">
        <w:rPr>
          <w:rFonts w:ascii="Times New Roman" w:hAnsi="Times New Roman" w:cs="Times New Roman"/>
          <w:sz w:val="24"/>
          <w:szCs w:val="24"/>
        </w:rPr>
        <w:t>в</w:t>
      </w:r>
      <w:r w:rsidRPr="00053EEC">
        <w:rPr>
          <w:rFonts w:ascii="Times New Roman" w:hAnsi="Times New Roman" w:cs="Times New Roman"/>
          <w:sz w:val="24"/>
          <w:szCs w:val="24"/>
        </w:rPr>
        <w:t>ступления в законную силу  судебного акта, которым буде</w:t>
      </w:r>
      <w:r w:rsidR="00053EEC">
        <w:rPr>
          <w:rFonts w:ascii="Times New Roman" w:hAnsi="Times New Roman" w:cs="Times New Roman"/>
          <w:sz w:val="24"/>
          <w:szCs w:val="24"/>
        </w:rPr>
        <w:t>т окончено производство по делу по исковому заявлению Удовиченко В.В. о признании соглашения об отступном недействительным, находяще</w:t>
      </w:r>
      <w:r w:rsidR="001D3129">
        <w:rPr>
          <w:rFonts w:ascii="Times New Roman" w:hAnsi="Times New Roman" w:cs="Times New Roman"/>
          <w:sz w:val="24"/>
          <w:szCs w:val="24"/>
        </w:rPr>
        <w:t>му</w:t>
      </w:r>
      <w:r w:rsidR="00053EEC">
        <w:rPr>
          <w:rFonts w:ascii="Times New Roman" w:hAnsi="Times New Roman" w:cs="Times New Roman"/>
          <w:sz w:val="24"/>
          <w:szCs w:val="24"/>
        </w:rPr>
        <w:t xml:space="preserve">ся в производстве Тираспольского городского суда. </w:t>
      </w:r>
    </w:p>
    <w:p w:rsidR="00BE1053" w:rsidRPr="00ED4C14" w:rsidRDefault="00BE1053" w:rsidP="001A697C">
      <w:pPr>
        <w:pStyle w:val="a5"/>
        <w:numPr>
          <w:ilvl w:val="0"/>
          <w:numId w:val="2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 xml:space="preserve">лиц, участвующих в деле, 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053" w:rsidRDefault="00BE1053" w:rsidP="001A697C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 Арбитражного суда</w:t>
      </w:r>
    </w:p>
    <w:p w:rsidR="005074FA" w:rsidRDefault="00BE1053" w:rsidP="001A697C">
      <w:pPr>
        <w:spacing w:after="0" w:line="228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Приднестровской Мол</w:t>
      </w:r>
      <w:r>
        <w:rPr>
          <w:rFonts w:ascii="Times New Roman" w:hAnsi="Times New Roman" w:cs="Times New Roman"/>
          <w:sz w:val="24"/>
          <w:szCs w:val="24"/>
        </w:rPr>
        <w:t xml:space="preserve">давской Республики </w:t>
      </w:r>
      <w:r w:rsidRPr="00914E1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4E10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74FA" w:rsidSect="001A697C">
      <w:footerReference w:type="default" r:id="rId8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F8" w:rsidRDefault="00E326F8" w:rsidP="00E326F8">
      <w:pPr>
        <w:spacing w:after="0" w:line="240" w:lineRule="auto"/>
      </w:pPr>
      <w:r>
        <w:separator/>
      </w:r>
    </w:p>
  </w:endnote>
  <w:endnote w:type="continuationSeparator" w:id="1">
    <w:p w:rsidR="00E326F8" w:rsidRDefault="00E326F8" w:rsidP="00E3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53" w:rsidRPr="009375D1" w:rsidRDefault="00BE1053" w:rsidP="005074FA">
    <w:pPr>
      <w:pStyle w:val="a3"/>
      <w:rPr>
        <w:rFonts w:ascii="Times New Roman" w:hAnsi="Times New Roman" w:cs="Times New Roman"/>
        <w:sz w:val="16"/>
        <w:szCs w:val="16"/>
      </w:rPr>
    </w:pPr>
    <w:r w:rsidRPr="009375D1">
      <w:rPr>
        <w:rFonts w:ascii="Times New Roman" w:hAnsi="Times New Roman" w:cs="Times New Roman"/>
        <w:sz w:val="16"/>
        <w:szCs w:val="16"/>
      </w:rPr>
      <w:t>Форма  № Ф-1</w:t>
    </w:r>
  </w:p>
  <w:p w:rsidR="00BE1053" w:rsidRPr="009375D1" w:rsidRDefault="00BE1053" w:rsidP="005074FA">
    <w:pPr>
      <w:pStyle w:val="a3"/>
      <w:rPr>
        <w:rFonts w:ascii="Times New Roman" w:hAnsi="Times New Roman" w:cs="Times New Roman"/>
      </w:rPr>
    </w:pPr>
    <w:r w:rsidRPr="009375D1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375D1">
      <w:rPr>
        <w:rFonts w:ascii="Times New Roman" w:hAnsi="Times New Roman" w:cs="Times New Roman"/>
        <w:sz w:val="16"/>
        <w:szCs w:val="16"/>
      </w:rPr>
      <w:t>д</w:t>
    </w:r>
    <w:proofErr w:type="spellEnd"/>
    <w:r w:rsidRPr="009375D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F8" w:rsidRDefault="00E326F8" w:rsidP="00E326F8">
      <w:pPr>
        <w:spacing w:after="0" w:line="240" w:lineRule="auto"/>
      </w:pPr>
      <w:r>
        <w:separator/>
      </w:r>
    </w:p>
  </w:footnote>
  <w:footnote w:type="continuationSeparator" w:id="1">
    <w:p w:rsidR="00E326F8" w:rsidRDefault="00E326F8" w:rsidP="00E3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4FA"/>
    <w:rsid w:val="00053EEC"/>
    <w:rsid w:val="001A697C"/>
    <w:rsid w:val="001D3129"/>
    <w:rsid w:val="005074FA"/>
    <w:rsid w:val="00BE1053"/>
    <w:rsid w:val="00E3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074F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5074FA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0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74FA"/>
  </w:style>
  <w:style w:type="paragraph" w:styleId="a5">
    <w:name w:val="List Paragraph"/>
    <w:basedOn w:val="a"/>
    <w:uiPriority w:val="34"/>
    <w:qFormat/>
    <w:rsid w:val="00BE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2019-08-15T12:23:00Z</dcterms:created>
  <dcterms:modified xsi:type="dcterms:W3CDTF">2019-08-16T08:32:00Z</dcterms:modified>
</cp:coreProperties>
</file>