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C4A9F" w:rsidRDefault="00B61D55" w:rsidP="007F6115">
      <w:pPr>
        <w:tabs>
          <w:tab w:val="left" w:pos="750"/>
        </w:tabs>
        <w:rPr>
          <w:vanish/>
          <w:sz w:val="20"/>
          <w:szCs w:val="20"/>
          <w:lang w:val="en-US"/>
        </w:rPr>
      </w:pPr>
      <w:r>
        <w:rPr>
          <w:noProof/>
          <w:sz w:val="20"/>
          <w:szCs w:val="20"/>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sidRPr="00CC4A9F">
        <w:rPr>
          <w:sz w:val="20"/>
          <w:szCs w:val="20"/>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C4A9F" w:rsidTr="00C3734A">
        <w:trPr>
          <w:trHeight w:val="342"/>
        </w:trPr>
        <w:tc>
          <w:tcPr>
            <w:tcW w:w="3888" w:type="dxa"/>
            <w:shd w:val="clear" w:color="auto" w:fill="auto"/>
          </w:tcPr>
          <w:p w:rsidR="002431E5" w:rsidRPr="00CC4A9F" w:rsidRDefault="002431E5" w:rsidP="00C3734A">
            <w:pPr>
              <w:jc w:val="right"/>
              <w:rPr>
                <w:rFonts w:eastAsia="Calibri"/>
                <w:color w:val="000000"/>
                <w:sz w:val="20"/>
                <w:szCs w:val="20"/>
              </w:rPr>
            </w:pPr>
          </w:p>
        </w:tc>
      </w:tr>
    </w:tbl>
    <w:p w:rsidR="00F253A2" w:rsidRPr="00CC4A9F" w:rsidRDefault="00991CBB" w:rsidP="007F6115">
      <w:pPr>
        <w:tabs>
          <w:tab w:val="left" w:pos="720"/>
          <w:tab w:val="left" w:pos="1797"/>
        </w:tabs>
        <w:rPr>
          <w:rFonts w:eastAsia="Calibri"/>
          <w:color w:val="000000"/>
          <w:sz w:val="20"/>
          <w:szCs w:val="20"/>
          <w:lang w:val="en-US"/>
        </w:rPr>
      </w:pPr>
      <w:r w:rsidRPr="00CC4A9F">
        <w:rPr>
          <w:rFonts w:eastAsia="Calibri"/>
          <w:color w:val="000000"/>
          <w:sz w:val="20"/>
          <w:szCs w:val="20"/>
          <w:lang w:val="en-US"/>
        </w:rPr>
        <w:tab/>
      </w:r>
      <w:r w:rsidR="007F6115" w:rsidRPr="00CC4A9F">
        <w:rPr>
          <w:rFonts w:eastAsia="Calibri"/>
          <w:color w:val="000000"/>
          <w:sz w:val="20"/>
          <w:szCs w:val="20"/>
          <w:lang w:val="en-US"/>
        </w:rPr>
        <w:tab/>
      </w:r>
    </w:p>
    <w:p w:rsidR="00533BE1" w:rsidRPr="00CC4A9F" w:rsidRDefault="00533BE1" w:rsidP="00533BE1">
      <w:pPr>
        <w:rPr>
          <w:b/>
          <w:color w:val="5F5F5F"/>
          <w:sz w:val="20"/>
          <w:szCs w:val="20"/>
          <w:lang w:val="en-US"/>
        </w:rPr>
      </w:pPr>
    </w:p>
    <w:p w:rsidR="007F6115" w:rsidRPr="00CC4A9F" w:rsidRDefault="007F6115" w:rsidP="007F6115">
      <w:pPr>
        <w:jc w:val="center"/>
        <w:rPr>
          <w:b/>
          <w:sz w:val="20"/>
          <w:szCs w:val="20"/>
          <w:lang w:val="en-US"/>
        </w:rPr>
      </w:pPr>
    </w:p>
    <w:p w:rsidR="00F253A2" w:rsidRPr="00CC4A9F" w:rsidRDefault="007F6115" w:rsidP="007F6115">
      <w:pPr>
        <w:tabs>
          <w:tab w:val="left" w:pos="465"/>
          <w:tab w:val="left" w:pos="675"/>
          <w:tab w:val="center" w:pos="5074"/>
        </w:tabs>
        <w:rPr>
          <w:b/>
          <w:color w:val="5F5F5F"/>
          <w:sz w:val="20"/>
          <w:szCs w:val="20"/>
        </w:rPr>
      </w:pPr>
      <w:r w:rsidRPr="00CC4A9F">
        <w:rPr>
          <w:b/>
          <w:color w:val="5F5F5F"/>
          <w:sz w:val="20"/>
          <w:szCs w:val="20"/>
        </w:rPr>
        <w:tab/>
      </w:r>
      <w:r w:rsidRPr="00CC4A9F">
        <w:rPr>
          <w:b/>
          <w:color w:val="5F5F5F"/>
          <w:sz w:val="20"/>
          <w:szCs w:val="20"/>
        </w:rPr>
        <w:tab/>
      </w:r>
      <w:r w:rsidRPr="00CC4A9F">
        <w:rPr>
          <w:b/>
          <w:color w:val="5F5F5F"/>
          <w:sz w:val="20"/>
          <w:szCs w:val="20"/>
        </w:rPr>
        <w:tab/>
      </w:r>
      <w:r w:rsidR="00CA1791" w:rsidRPr="00CC4A9F">
        <w:rPr>
          <w:b/>
          <w:color w:val="5F5F5F"/>
          <w:sz w:val="20"/>
          <w:szCs w:val="20"/>
        </w:rPr>
        <w:t xml:space="preserve"> </w:t>
      </w:r>
    </w:p>
    <w:p w:rsidR="00991CBB" w:rsidRPr="00CC4A9F" w:rsidRDefault="00991CBB" w:rsidP="004F7B6D">
      <w:pPr>
        <w:jc w:val="center"/>
        <w:rPr>
          <w:b/>
          <w:sz w:val="20"/>
          <w:szCs w:val="20"/>
          <w:lang w:val="en-US"/>
        </w:rPr>
      </w:pPr>
    </w:p>
    <w:p w:rsidR="00212E13" w:rsidRPr="00CC4A9F" w:rsidRDefault="00212E13" w:rsidP="0094034D">
      <w:pPr>
        <w:jc w:val="center"/>
        <w:outlineLvl w:val="0"/>
        <w:rPr>
          <w:b/>
          <w:sz w:val="20"/>
          <w:szCs w:val="20"/>
        </w:rPr>
      </w:pPr>
      <w:r w:rsidRPr="00CC4A9F">
        <w:rPr>
          <w:b/>
          <w:sz w:val="20"/>
          <w:szCs w:val="20"/>
        </w:rPr>
        <w:t>АРБИТРАЖНЫЙ СУД</w:t>
      </w:r>
    </w:p>
    <w:p w:rsidR="00A032B6" w:rsidRPr="00CC4A9F" w:rsidRDefault="00A032B6" w:rsidP="0094034D">
      <w:pPr>
        <w:jc w:val="center"/>
        <w:outlineLvl w:val="0"/>
        <w:rPr>
          <w:b/>
          <w:sz w:val="20"/>
          <w:szCs w:val="20"/>
        </w:rPr>
      </w:pPr>
      <w:r w:rsidRPr="00CC4A9F">
        <w:rPr>
          <w:b/>
          <w:sz w:val="20"/>
          <w:szCs w:val="20"/>
        </w:rPr>
        <w:t>ПРИДНЕСТРОВСК</w:t>
      </w:r>
      <w:r w:rsidR="00212E13" w:rsidRPr="00CC4A9F">
        <w:rPr>
          <w:b/>
          <w:sz w:val="20"/>
          <w:szCs w:val="20"/>
        </w:rPr>
        <w:t>ОЙ</w:t>
      </w:r>
      <w:r w:rsidRPr="00CC4A9F">
        <w:rPr>
          <w:b/>
          <w:sz w:val="20"/>
          <w:szCs w:val="20"/>
        </w:rPr>
        <w:t xml:space="preserve"> МОЛДАВСК</w:t>
      </w:r>
      <w:r w:rsidR="00212E13" w:rsidRPr="00CC4A9F">
        <w:rPr>
          <w:b/>
          <w:sz w:val="20"/>
          <w:szCs w:val="20"/>
        </w:rPr>
        <w:t xml:space="preserve">ОЙ </w:t>
      </w:r>
      <w:r w:rsidRPr="00CC4A9F">
        <w:rPr>
          <w:b/>
          <w:sz w:val="20"/>
          <w:szCs w:val="20"/>
        </w:rPr>
        <w:t>РЕСПУБЛИК</w:t>
      </w:r>
      <w:r w:rsidR="00212E13" w:rsidRPr="00CC4A9F">
        <w:rPr>
          <w:b/>
          <w:sz w:val="20"/>
          <w:szCs w:val="20"/>
        </w:rPr>
        <w:t>И</w:t>
      </w:r>
    </w:p>
    <w:p w:rsidR="00CA1791" w:rsidRPr="008215EA" w:rsidRDefault="00CA1791" w:rsidP="00212E13">
      <w:pPr>
        <w:ind w:left="-181"/>
        <w:jc w:val="center"/>
      </w:pPr>
    </w:p>
    <w:p w:rsidR="00212E13" w:rsidRPr="00CC4A9F" w:rsidRDefault="00212E13" w:rsidP="0094034D">
      <w:pPr>
        <w:ind w:left="-181"/>
        <w:jc w:val="center"/>
        <w:outlineLvl w:val="0"/>
        <w:rPr>
          <w:sz w:val="20"/>
          <w:szCs w:val="20"/>
        </w:rPr>
      </w:pPr>
      <w:smartTag w:uri="urn:schemas-microsoft-com:office:smarttags" w:element="metricconverter">
        <w:smartTagPr>
          <w:attr w:name="ProductID" w:val="3300, г"/>
        </w:smartTagPr>
        <w:r w:rsidRPr="00CC4A9F">
          <w:rPr>
            <w:sz w:val="20"/>
            <w:szCs w:val="20"/>
          </w:rPr>
          <w:t>3300, г</w:t>
        </w:r>
      </w:smartTag>
      <w:proofErr w:type="gramStart"/>
      <w:r w:rsidRPr="00CC4A9F">
        <w:rPr>
          <w:sz w:val="20"/>
          <w:szCs w:val="20"/>
        </w:rPr>
        <w:t>.Т</w:t>
      </w:r>
      <w:proofErr w:type="gramEnd"/>
      <w:r w:rsidRPr="00CC4A9F">
        <w:rPr>
          <w:sz w:val="20"/>
          <w:szCs w:val="20"/>
        </w:rPr>
        <w:t>ирасполь, ул. Ленина, 1/2. Тел. 7-70-47, 7-42-</w:t>
      </w:r>
      <w:r w:rsidR="00E67E5E" w:rsidRPr="00CC4A9F">
        <w:rPr>
          <w:sz w:val="20"/>
          <w:szCs w:val="20"/>
        </w:rPr>
        <w:t>07</w:t>
      </w:r>
    </w:p>
    <w:p w:rsidR="00212E13" w:rsidRPr="00CC4A9F" w:rsidRDefault="00212E13" w:rsidP="0094034D">
      <w:pPr>
        <w:ind w:left="-181"/>
        <w:jc w:val="center"/>
        <w:outlineLvl w:val="0"/>
        <w:rPr>
          <w:sz w:val="20"/>
          <w:szCs w:val="20"/>
        </w:rPr>
      </w:pPr>
      <w:r w:rsidRPr="00CC4A9F">
        <w:rPr>
          <w:sz w:val="20"/>
          <w:szCs w:val="20"/>
        </w:rPr>
        <w:t xml:space="preserve">Официальный сайт: </w:t>
      </w:r>
      <w:proofErr w:type="spellStart"/>
      <w:r w:rsidR="002D2926" w:rsidRPr="00CC4A9F">
        <w:rPr>
          <w:sz w:val="20"/>
          <w:szCs w:val="20"/>
        </w:rPr>
        <w:t>www</w:t>
      </w:r>
      <w:proofErr w:type="spellEnd"/>
      <w:r w:rsidR="002D2926" w:rsidRPr="00CC4A9F">
        <w:rPr>
          <w:sz w:val="20"/>
          <w:szCs w:val="20"/>
        </w:rPr>
        <w:t>.</w:t>
      </w:r>
      <w:proofErr w:type="spellStart"/>
      <w:r w:rsidR="002D2926" w:rsidRPr="00CC4A9F">
        <w:rPr>
          <w:sz w:val="20"/>
          <w:szCs w:val="20"/>
          <w:lang w:val="en-US"/>
        </w:rPr>
        <w:t>arbitr</w:t>
      </w:r>
      <w:proofErr w:type="spellEnd"/>
      <w:r w:rsidR="00444EB1" w:rsidRPr="00CC4A9F">
        <w:rPr>
          <w:sz w:val="20"/>
          <w:szCs w:val="20"/>
        </w:rPr>
        <w:t>.</w:t>
      </w:r>
      <w:proofErr w:type="spellStart"/>
      <w:r w:rsidR="00444EB1" w:rsidRPr="00CC4A9F">
        <w:rPr>
          <w:sz w:val="20"/>
          <w:szCs w:val="20"/>
        </w:rPr>
        <w:t>gospmr</w:t>
      </w:r>
      <w:proofErr w:type="spellEnd"/>
      <w:r w:rsidR="002D2926" w:rsidRPr="00CC4A9F">
        <w:rPr>
          <w:sz w:val="20"/>
          <w:szCs w:val="20"/>
        </w:rPr>
        <w:t>.</w:t>
      </w:r>
      <w:r w:rsidR="002D2926" w:rsidRPr="00CC4A9F">
        <w:rPr>
          <w:sz w:val="20"/>
          <w:szCs w:val="20"/>
          <w:lang w:val="en-US"/>
        </w:rPr>
        <w:t>org</w:t>
      </w:r>
    </w:p>
    <w:p w:rsidR="002D2926" w:rsidRPr="00CC4A9F" w:rsidRDefault="002D2926" w:rsidP="00212E13">
      <w:pPr>
        <w:ind w:left="-181"/>
        <w:jc w:val="center"/>
        <w:rPr>
          <w:color w:val="5F5F5F"/>
          <w:sz w:val="20"/>
          <w:szCs w:val="20"/>
        </w:rPr>
      </w:pPr>
    </w:p>
    <w:p w:rsidR="00A032B6" w:rsidRPr="00CC4A9F" w:rsidRDefault="001823B7" w:rsidP="00A032B6">
      <w:pPr>
        <w:ind w:left="-181"/>
        <w:jc w:val="center"/>
        <w:rPr>
          <w:b/>
          <w:sz w:val="20"/>
          <w:szCs w:val="20"/>
          <w:u w:val="single"/>
        </w:rPr>
      </w:pPr>
      <w:r w:rsidRPr="00CC4A9F">
        <w:rPr>
          <w:b/>
          <w:noProof/>
          <w:sz w:val="20"/>
          <w:szCs w:val="20"/>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sidRPr="00CC4A9F">
        <w:rPr>
          <w:b/>
          <w:noProof/>
          <w:sz w:val="20"/>
          <w:szCs w:val="20"/>
          <w:u w:val="single"/>
        </w:rPr>
        <w:pict>
          <v:shape id="_x0000_s1032" type="#_x0000_t32" style="position:absolute;left:0;text-align:left;margin-left:11.55pt;margin-top:4.5pt;width:480.45pt;height:0;z-index:251657728" o:connectortype="straight" strokeweight=".5pt"/>
        </w:pict>
      </w:r>
    </w:p>
    <w:p w:rsidR="00A032B6" w:rsidRPr="008215EA" w:rsidRDefault="00A032B6" w:rsidP="00A032B6">
      <w:pPr>
        <w:ind w:left="-181"/>
        <w:jc w:val="center"/>
        <w:rPr>
          <w:b/>
          <w:u w:val="single"/>
        </w:rPr>
      </w:pPr>
    </w:p>
    <w:p w:rsidR="001823B7" w:rsidRPr="008215EA" w:rsidRDefault="00E90DB1" w:rsidP="0094034D">
      <w:pPr>
        <w:ind w:left="-181"/>
        <w:jc w:val="center"/>
        <w:outlineLvl w:val="0"/>
        <w:rPr>
          <w:b/>
        </w:rPr>
      </w:pPr>
      <w:r w:rsidRPr="008215EA">
        <w:rPr>
          <w:b/>
        </w:rPr>
        <w:t xml:space="preserve">О </w:t>
      </w:r>
      <w:proofErr w:type="gramStart"/>
      <w:r w:rsidRPr="008215EA">
        <w:rPr>
          <w:b/>
        </w:rPr>
        <w:t>П</w:t>
      </w:r>
      <w:proofErr w:type="gramEnd"/>
      <w:r w:rsidRPr="008215EA">
        <w:rPr>
          <w:b/>
        </w:rPr>
        <w:t xml:space="preserve"> Р Е Д Е Л Е Н И Е</w:t>
      </w:r>
    </w:p>
    <w:p w:rsidR="001823B7" w:rsidRPr="008215EA" w:rsidRDefault="001823B7" w:rsidP="00A032B6">
      <w:pPr>
        <w:ind w:left="-181"/>
        <w:jc w:val="center"/>
        <w:rPr>
          <w:b/>
        </w:rPr>
      </w:pPr>
    </w:p>
    <w:p w:rsidR="00E37C05" w:rsidRPr="008215EA" w:rsidRDefault="0094034D" w:rsidP="0094034D">
      <w:pPr>
        <w:ind w:left="-181"/>
        <w:jc w:val="center"/>
        <w:rPr>
          <w:b/>
        </w:rPr>
      </w:pPr>
      <w:r w:rsidRPr="008215EA">
        <w:rPr>
          <w:b/>
        </w:rPr>
        <w:t xml:space="preserve">об оставлении </w:t>
      </w:r>
      <w:r w:rsidR="00E37C05" w:rsidRPr="008215EA">
        <w:rPr>
          <w:b/>
        </w:rPr>
        <w:t xml:space="preserve">заявления </w:t>
      </w:r>
      <w:r w:rsidRPr="008215EA">
        <w:rPr>
          <w:b/>
        </w:rPr>
        <w:t>без движения</w:t>
      </w:r>
    </w:p>
    <w:p w:rsidR="00E90DB1" w:rsidRPr="008215EA" w:rsidRDefault="00E90DB1" w:rsidP="00A032B6">
      <w:pPr>
        <w:ind w:left="-181"/>
        <w:jc w:val="center"/>
        <w:rPr>
          <w:b/>
        </w:rPr>
      </w:pPr>
    </w:p>
    <w:p w:rsidR="00E90DB1" w:rsidRPr="008215EA" w:rsidRDefault="00E90DB1" w:rsidP="00A032B6">
      <w:pPr>
        <w:ind w:left="-181"/>
        <w:jc w:val="center"/>
        <w:rPr>
          <w:b/>
        </w:rPr>
      </w:pPr>
    </w:p>
    <w:p w:rsidR="00717526" w:rsidRPr="00CC4A9F" w:rsidRDefault="00717526"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C4A9F" w:rsidTr="00435D1A">
        <w:trPr>
          <w:trHeight w:val="259"/>
        </w:trPr>
        <w:tc>
          <w:tcPr>
            <w:tcW w:w="4952" w:type="dxa"/>
            <w:gridSpan w:val="7"/>
          </w:tcPr>
          <w:p w:rsidR="00435D1A" w:rsidRPr="00CC4A9F" w:rsidRDefault="00435D1A" w:rsidP="008215EA">
            <w:pPr>
              <w:rPr>
                <w:rFonts w:eastAsia="Calibri"/>
                <w:bCs/>
                <w:sz w:val="20"/>
                <w:szCs w:val="20"/>
              </w:rPr>
            </w:pPr>
            <w:r w:rsidRPr="00CC4A9F">
              <w:rPr>
                <w:rFonts w:eastAsia="Calibri"/>
                <w:sz w:val="20"/>
                <w:szCs w:val="20"/>
              </w:rPr>
              <w:t>«</w:t>
            </w:r>
            <w:r w:rsidR="0094034D" w:rsidRPr="00CC4A9F">
              <w:rPr>
                <w:rFonts w:eastAsia="Calibri"/>
                <w:sz w:val="20"/>
                <w:szCs w:val="20"/>
                <w:u w:val="single"/>
              </w:rPr>
              <w:t xml:space="preserve">  </w:t>
            </w:r>
            <w:r w:rsidR="001462AA">
              <w:rPr>
                <w:rFonts w:eastAsia="Calibri"/>
                <w:sz w:val="20"/>
                <w:szCs w:val="20"/>
                <w:u w:val="single"/>
              </w:rPr>
              <w:t>1</w:t>
            </w:r>
            <w:r w:rsidR="008215EA">
              <w:rPr>
                <w:rFonts w:eastAsia="Calibri"/>
                <w:sz w:val="20"/>
                <w:szCs w:val="20"/>
                <w:u w:val="single"/>
              </w:rPr>
              <w:t>6</w:t>
            </w:r>
            <w:r w:rsidR="0094034D" w:rsidRPr="00CC4A9F">
              <w:rPr>
                <w:rFonts w:eastAsia="Calibri"/>
                <w:sz w:val="20"/>
                <w:szCs w:val="20"/>
                <w:u w:val="single"/>
              </w:rPr>
              <w:t xml:space="preserve">  </w:t>
            </w:r>
            <w:r w:rsidRPr="00CC4A9F">
              <w:rPr>
                <w:rFonts w:eastAsia="Calibri"/>
                <w:sz w:val="20"/>
                <w:szCs w:val="20"/>
              </w:rPr>
              <w:t xml:space="preserve">» </w:t>
            </w:r>
            <w:r w:rsidR="0094034D" w:rsidRPr="00CC4A9F">
              <w:rPr>
                <w:rFonts w:eastAsia="Calibri"/>
                <w:sz w:val="20"/>
                <w:szCs w:val="20"/>
                <w:u w:val="single"/>
              </w:rPr>
              <w:t xml:space="preserve">  </w:t>
            </w:r>
            <w:r w:rsidR="001462AA">
              <w:rPr>
                <w:rFonts w:eastAsia="Calibri"/>
                <w:sz w:val="20"/>
                <w:szCs w:val="20"/>
                <w:u w:val="single"/>
              </w:rPr>
              <w:t>мая</w:t>
            </w:r>
            <w:r w:rsidR="0094034D" w:rsidRPr="00CC4A9F">
              <w:rPr>
                <w:rFonts w:eastAsia="Calibri"/>
                <w:sz w:val="20"/>
                <w:szCs w:val="20"/>
                <w:u w:val="single"/>
              </w:rPr>
              <w:t xml:space="preserve">   </w:t>
            </w:r>
            <w:r w:rsidRPr="00CC4A9F">
              <w:rPr>
                <w:rFonts w:eastAsia="Calibri"/>
                <w:bCs/>
                <w:sz w:val="20"/>
                <w:szCs w:val="20"/>
              </w:rPr>
              <w:t xml:space="preserve"> 20</w:t>
            </w:r>
            <w:r w:rsidR="0094034D" w:rsidRPr="00CC4A9F">
              <w:rPr>
                <w:rFonts w:eastAsia="Calibri"/>
                <w:bCs/>
                <w:sz w:val="20"/>
                <w:szCs w:val="20"/>
                <w:u w:val="single"/>
              </w:rPr>
              <w:t xml:space="preserve"> 19 </w:t>
            </w:r>
            <w:r w:rsidRPr="00CC4A9F">
              <w:rPr>
                <w:rFonts w:eastAsia="Calibri"/>
                <w:bCs/>
                <w:sz w:val="20"/>
                <w:szCs w:val="20"/>
              </w:rPr>
              <w:t>г.</w:t>
            </w:r>
          </w:p>
        </w:tc>
        <w:tc>
          <w:tcPr>
            <w:tcW w:w="4971" w:type="dxa"/>
            <w:gridSpan w:val="3"/>
          </w:tcPr>
          <w:p w:rsidR="00435D1A" w:rsidRPr="00CC4A9F" w:rsidRDefault="00435D1A" w:rsidP="002D2926">
            <w:pPr>
              <w:rPr>
                <w:rFonts w:eastAsia="Calibri"/>
                <w:b/>
                <w:bCs/>
                <w:sz w:val="20"/>
                <w:szCs w:val="20"/>
              </w:rPr>
            </w:pPr>
            <w:r w:rsidRPr="00CC4A9F">
              <w:rPr>
                <w:rFonts w:eastAsia="Calibri"/>
                <w:bCs/>
                <w:sz w:val="20"/>
                <w:szCs w:val="20"/>
              </w:rPr>
              <w:t xml:space="preserve">                               Дело </w:t>
            </w:r>
            <w:r w:rsidRPr="00CC4A9F">
              <w:rPr>
                <w:rFonts w:eastAsia="Calibri"/>
                <w:sz w:val="20"/>
                <w:szCs w:val="20"/>
              </w:rPr>
              <w:t xml:space="preserve">№ </w:t>
            </w:r>
            <w:r w:rsidR="0094034D" w:rsidRPr="00CC4A9F">
              <w:rPr>
                <w:rFonts w:eastAsia="Calibri"/>
                <w:sz w:val="20"/>
                <w:szCs w:val="20"/>
                <w:u w:val="single"/>
              </w:rPr>
              <w:t xml:space="preserve">   </w:t>
            </w:r>
            <w:r w:rsidR="001462AA">
              <w:rPr>
                <w:rFonts w:eastAsia="Calibri"/>
                <w:sz w:val="20"/>
                <w:szCs w:val="20"/>
                <w:u w:val="single"/>
              </w:rPr>
              <w:t>293</w:t>
            </w:r>
            <w:r w:rsidR="0094034D" w:rsidRPr="00CC4A9F">
              <w:rPr>
                <w:rFonts w:eastAsia="Calibri"/>
                <w:sz w:val="20"/>
                <w:szCs w:val="20"/>
                <w:u w:val="single"/>
              </w:rPr>
              <w:t xml:space="preserve">/19-06            </w:t>
            </w:r>
            <w:r w:rsidRPr="00CC4A9F">
              <w:rPr>
                <w:rFonts w:eastAsia="Calibri"/>
                <w:sz w:val="20"/>
                <w:szCs w:val="20"/>
              </w:rPr>
              <w:t xml:space="preserve"> </w:t>
            </w:r>
          </w:p>
        </w:tc>
      </w:tr>
      <w:tr w:rsidR="00717526" w:rsidRPr="00CC4A9F" w:rsidTr="00435D1A">
        <w:tc>
          <w:tcPr>
            <w:tcW w:w="1199" w:type="dxa"/>
          </w:tcPr>
          <w:p w:rsidR="00F64381" w:rsidRPr="00CC4A9F" w:rsidRDefault="00F64381" w:rsidP="00F64381">
            <w:pPr>
              <w:rPr>
                <w:rFonts w:eastAsia="Calibri"/>
                <w:b/>
                <w:bCs/>
                <w:sz w:val="20"/>
                <w:szCs w:val="20"/>
              </w:rPr>
            </w:pPr>
          </w:p>
        </w:tc>
        <w:tc>
          <w:tcPr>
            <w:tcW w:w="1418" w:type="dxa"/>
            <w:gridSpan w:val="4"/>
          </w:tcPr>
          <w:p w:rsidR="00F64381" w:rsidRPr="00CC4A9F" w:rsidRDefault="00F64381" w:rsidP="00F64381">
            <w:pPr>
              <w:rPr>
                <w:rFonts w:eastAsia="Calibri"/>
                <w:b/>
                <w:bCs/>
                <w:sz w:val="20"/>
                <w:szCs w:val="20"/>
              </w:rPr>
            </w:pPr>
          </w:p>
        </w:tc>
        <w:tc>
          <w:tcPr>
            <w:tcW w:w="838" w:type="dxa"/>
          </w:tcPr>
          <w:p w:rsidR="00F64381" w:rsidRPr="00CC4A9F" w:rsidRDefault="00F64381" w:rsidP="00F64381">
            <w:pPr>
              <w:rPr>
                <w:rFonts w:eastAsia="Calibri"/>
                <w:b/>
                <w:bCs/>
                <w:sz w:val="20"/>
                <w:szCs w:val="20"/>
              </w:rPr>
            </w:pPr>
          </w:p>
        </w:tc>
        <w:tc>
          <w:tcPr>
            <w:tcW w:w="3577" w:type="dxa"/>
            <w:gridSpan w:val="2"/>
          </w:tcPr>
          <w:p w:rsidR="00F64381" w:rsidRPr="00CC4A9F" w:rsidRDefault="00F64381" w:rsidP="006E570D">
            <w:pPr>
              <w:tabs>
                <w:tab w:val="center" w:pos="1805"/>
              </w:tabs>
              <w:jc w:val="center"/>
              <w:rPr>
                <w:rFonts w:eastAsia="Calibri"/>
                <w:bCs/>
                <w:sz w:val="20"/>
                <w:szCs w:val="20"/>
              </w:rPr>
            </w:pPr>
          </w:p>
        </w:tc>
        <w:tc>
          <w:tcPr>
            <w:tcW w:w="2891" w:type="dxa"/>
            <w:gridSpan w:val="2"/>
          </w:tcPr>
          <w:p w:rsidR="00F64381" w:rsidRPr="00CC4A9F"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94034D" w:rsidRPr="008215EA" w:rsidRDefault="0094034D" w:rsidP="008215EA">
      <w:pPr>
        <w:ind w:firstLine="567"/>
        <w:jc w:val="both"/>
      </w:pPr>
      <w:proofErr w:type="gramStart"/>
      <w:r w:rsidRPr="008215EA">
        <w:t xml:space="preserve">Арбитражный суд Приднестровской Молдавской Республики в составе судьи </w:t>
      </w:r>
      <w:r w:rsidRPr="008215EA">
        <w:br/>
        <w:t xml:space="preserve">Т. И. </w:t>
      </w:r>
      <w:proofErr w:type="spellStart"/>
      <w:r w:rsidRPr="008215EA">
        <w:t>Цыганаш</w:t>
      </w:r>
      <w:proofErr w:type="spellEnd"/>
      <w:r w:rsidRPr="008215EA">
        <w:t xml:space="preserve">, рассмотрев вопрос о принятии заявления </w:t>
      </w:r>
      <w:r w:rsidR="001462AA" w:rsidRPr="008215EA">
        <w:t>общества с ограниченной ответственностью «Славянский дом» (</w:t>
      </w:r>
      <w:r w:rsidR="00C3358D" w:rsidRPr="008215EA">
        <w:t>место регистрации: г. Бендеры, ул. Суворова, д. 108 «Б», адрес направления корреспонденции:</w:t>
      </w:r>
      <w:proofErr w:type="gramEnd"/>
      <w:r w:rsidR="00C3358D" w:rsidRPr="008215EA">
        <w:t xml:space="preserve"> </w:t>
      </w:r>
      <w:proofErr w:type="spellStart"/>
      <w:r w:rsidR="00C3358D" w:rsidRPr="008215EA">
        <w:t>Григориопольский</w:t>
      </w:r>
      <w:proofErr w:type="spellEnd"/>
      <w:r w:rsidR="00C3358D" w:rsidRPr="008215EA">
        <w:t xml:space="preserve"> р-н, </w:t>
      </w:r>
      <w:proofErr w:type="gramStart"/>
      <w:r w:rsidR="00C3358D" w:rsidRPr="008215EA">
        <w:t>с</w:t>
      </w:r>
      <w:proofErr w:type="gramEnd"/>
      <w:r w:rsidR="00C3358D" w:rsidRPr="008215EA">
        <w:t xml:space="preserve">. </w:t>
      </w:r>
      <w:proofErr w:type="gramStart"/>
      <w:r w:rsidR="00C3358D" w:rsidRPr="008215EA">
        <w:t>Красногорка</w:t>
      </w:r>
      <w:proofErr w:type="gramEnd"/>
      <w:r w:rsidR="00C3358D" w:rsidRPr="008215EA">
        <w:t xml:space="preserve">, ул. </w:t>
      </w:r>
      <w:proofErr w:type="spellStart"/>
      <w:r w:rsidR="00C3358D" w:rsidRPr="008215EA">
        <w:t>Минки</w:t>
      </w:r>
      <w:proofErr w:type="spellEnd"/>
      <w:r w:rsidR="00C3358D" w:rsidRPr="008215EA">
        <w:t>, д. 7)</w:t>
      </w:r>
      <w:r w:rsidR="00513807" w:rsidRPr="008215EA">
        <w:t xml:space="preserve"> об установлении факта принадлежности на праве собст</w:t>
      </w:r>
      <w:r w:rsidR="00C3358D" w:rsidRPr="008215EA">
        <w:t xml:space="preserve">венности </w:t>
      </w:r>
      <w:r w:rsidR="00513807" w:rsidRPr="008215EA">
        <w:t>объект</w:t>
      </w:r>
      <w:r w:rsidR="00C3358D" w:rsidRPr="008215EA">
        <w:t>ов</w:t>
      </w:r>
      <w:r w:rsidR="00513807" w:rsidRPr="008215EA">
        <w:t xml:space="preserve"> недвижимо</w:t>
      </w:r>
      <w:r w:rsidR="00C3358D" w:rsidRPr="008215EA">
        <w:t>сти</w:t>
      </w:r>
      <w:r w:rsidR="00861844" w:rsidRPr="008215EA">
        <w:t>,</w:t>
      </w:r>
      <w:r w:rsidRPr="008215EA">
        <w:t xml:space="preserve"> и изучив представленные документы,</w:t>
      </w:r>
    </w:p>
    <w:p w:rsidR="0094034D" w:rsidRPr="008215EA" w:rsidRDefault="0094034D" w:rsidP="008215EA">
      <w:pPr>
        <w:ind w:firstLine="567"/>
        <w:jc w:val="both"/>
        <w:rPr>
          <w:b/>
        </w:rPr>
      </w:pPr>
    </w:p>
    <w:p w:rsidR="0094034D" w:rsidRPr="008215EA" w:rsidRDefault="0094034D" w:rsidP="008215EA">
      <w:pPr>
        <w:ind w:firstLine="567"/>
        <w:jc w:val="center"/>
        <w:rPr>
          <w:b/>
        </w:rPr>
      </w:pPr>
      <w:r w:rsidRPr="008215EA">
        <w:rPr>
          <w:b/>
        </w:rPr>
        <w:t>У С Т А Н О В И Л:</w:t>
      </w:r>
    </w:p>
    <w:p w:rsidR="0094034D" w:rsidRPr="008215EA" w:rsidRDefault="0094034D" w:rsidP="008215EA">
      <w:pPr>
        <w:ind w:firstLine="567"/>
        <w:jc w:val="both"/>
        <w:rPr>
          <w:b/>
        </w:rPr>
      </w:pPr>
    </w:p>
    <w:p w:rsidR="00513807" w:rsidRPr="008215EA" w:rsidRDefault="00513807" w:rsidP="008215EA">
      <w:pPr>
        <w:ind w:firstLine="567"/>
        <w:jc w:val="both"/>
      </w:pPr>
      <w:r w:rsidRPr="008215EA">
        <w:t>несоответствие поданного заявления требованиям Арбитражного процессуального кодекса Приднестровской Молдавской Республики (далее - АПК ПМР).</w:t>
      </w:r>
    </w:p>
    <w:p w:rsidR="00AD5EF6" w:rsidRPr="008215EA" w:rsidRDefault="00AD5EF6" w:rsidP="008215EA">
      <w:pPr>
        <w:ind w:firstLine="567"/>
        <w:jc w:val="both"/>
      </w:pPr>
      <w:r w:rsidRPr="008215EA">
        <w:t xml:space="preserve">В силу части первой статьи 135 АПК ПМР заявление об установлении фактов, имеющих юридическое значение, должно соответствовать требованиям, предусмотренным  статьей 91, за исключением требовании, перечисленных в подпунктах ж), </w:t>
      </w:r>
      <w:proofErr w:type="spellStart"/>
      <w:r w:rsidRPr="008215EA">
        <w:t>з</w:t>
      </w:r>
      <w:proofErr w:type="spellEnd"/>
      <w:r w:rsidRPr="008215EA">
        <w:t>) пункта 2 статьи 91, статьей 92, статьей 93 АПК ПМР.</w:t>
      </w:r>
    </w:p>
    <w:p w:rsidR="00C3358D" w:rsidRPr="008215EA" w:rsidRDefault="0094034D" w:rsidP="008215EA">
      <w:pPr>
        <w:ind w:firstLine="567"/>
        <w:jc w:val="both"/>
      </w:pPr>
      <w:r w:rsidRPr="008215EA">
        <w:t>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процессуальным кодексом к его форме и содержанию. Изучив содержание заявления, требования к которому определены статьей 91 АПК ПМР, а также</w:t>
      </w:r>
      <w:r w:rsidR="00AD5EF6" w:rsidRPr="008215EA">
        <w:t xml:space="preserve"> выполнения требований, установленных статьей 93 АПК ПМР</w:t>
      </w:r>
      <w:r w:rsidRPr="008215EA">
        <w:t xml:space="preserve">, судом установлены следующие </w:t>
      </w:r>
      <w:r w:rsidR="00690DEA" w:rsidRPr="008215EA">
        <w:t>несоответствия процессуального закона</w:t>
      </w:r>
      <w:r w:rsidR="00C3358D" w:rsidRPr="008215EA">
        <w:t>.</w:t>
      </w:r>
    </w:p>
    <w:p w:rsidR="00C3358D" w:rsidRPr="008215EA" w:rsidRDefault="00C3358D" w:rsidP="008215EA">
      <w:pPr>
        <w:ind w:firstLine="567"/>
        <w:jc w:val="both"/>
      </w:pPr>
      <w:r w:rsidRPr="008215EA">
        <w:t>Подпунктом а) статьи 93 АПК ПМР установлено, что к исковому заявлению прилагаются 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B61D55" w:rsidRPr="008215EA" w:rsidRDefault="00B61D55" w:rsidP="008215EA">
      <w:pPr>
        <w:pStyle w:val="ac"/>
        <w:ind w:firstLine="567"/>
        <w:jc w:val="both"/>
        <w:rPr>
          <w:rFonts w:ascii="Times New Roman" w:hAnsi="Times New Roman" w:cs="Times New Roman"/>
          <w:sz w:val="24"/>
          <w:szCs w:val="24"/>
        </w:rPr>
      </w:pPr>
      <w:r w:rsidRPr="008215EA">
        <w:rPr>
          <w:rFonts w:ascii="Times New Roman" w:hAnsi="Times New Roman" w:cs="Times New Roman"/>
          <w:sz w:val="24"/>
          <w:szCs w:val="24"/>
        </w:rPr>
        <w:t xml:space="preserve">Согласно пункту 1 статьи 6 Закона «О государственной пошлине» </w:t>
      </w:r>
      <w:r w:rsidR="008215EA">
        <w:rPr>
          <w:rFonts w:ascii="Times New Roman" w:hAnsi="Times New Roman" w:cs="Times New Roman"/>
          <w:sz w:val="24"/>
          <w:szCs w:val="24"/>
        </w:rPr>
        <w:t>г</w:t>
      </w:r>
      <w:r w:rsidRPr="008215EA">
        <w:rPr>
          <w:rFonts w:ascii="Times New Roman" w:hAnsi="Times New Roman" w:cs="Times New Roman"/>
          <w:sz w:val="24"/>
          <w:szCs w:val="24"/>
        </w:rPr>
        <w:t>осударственная пошлина уплачивается в рублях в банки (их филиалы), а также путем перечисления сумм государственной пошлины со счета плательщика через банки (их филиалы). Прием банками (их филиалами) государственной пошлины осуществляется во всех случаях с выдачей квитанции установленной формы.</w:t>
      </w:r>
      <w:r w:rsidR="00AF3007" w:rsidRPr="008215EA">
        <w:rPr>
          <w:rFonts w:ascii="Times New Roman" w:hAnsi="Times New Roman" w:cs="Times New Roman"/>
          <w:sz w:val="24"/>
          <w:szCs w:val="24"/>
        </w:rPr>
        <w:t xml:space="preserve"> </w:t>
      </w:r>
    </w:p>
    <w:p w:rsidR="00AF3007" w:rsidRPr="008215EA" w:rsidRDefault="00AF3007" w:rsidP="008215EA">
      <w:pPr>
        <w:pStyle w:val="ac"/>
        <w:ind w:firstLine="567"/>
        <w:jc w:val="both"/>
        <w:rPr>
          <w:rFonts w:ascii="Times New Roman" w:hAnsi="Times New Roman" w:cs="Times New Roman"/>
          <w:sz w:val="24"/>
          <w:szCs w:val="24"/>
        </w:rPr>
      </w:pPr>
      <w:r w:rsidRPr="008215EA">
        <w:rPr>
          <w:rFonts w:ascii="Times New Roman" w:hAnsi="Times New Roman" w:cs="Times New Roman"/>
          <w:sz w:val="24"/>
          <w:szCs w:val="24"/>
        </w:rPr>
        <w:lastRenderedPageBreak/>
        <w:t xml:space="preserve">Арбитражный суд, изучив содержание заявления ООО «Славянский дом» и приложенные к нему документы, установил, что квитанция от 19 марта 2019 года </w:t>
      </w:r>
      <w:r w:rsidR="008215EA">
        <w:rPr>
          <w:rFonts w:ascii="Times New Roman" w:hAnsi="Times New Roman" w:cs="Times New Roman"/>
          <w:sz w:val="24"/>
          <w:szCs w:val="24"/>
        </w:rPr>
        <w:br/>
      </w:r>
      <w:r w:rsidRPr="008215EA">
        <w:rPr>
          <w:rFonts w:ascii="Times New Roman" w:hAnsi="Times New Roman" w:cs="Times New Roman"/>
          <w:sz w:val="24"/>
          <w:szCs w:val="24"/>
        </w:rPr>
        <w:t>№ 232634835 не свидетельствует о том, что заявителем произведена оплата государственной пошлины</w:t>
      </w:r>
      <w:r w:rsidR="008215EA">
        <w:rPr>
          <w:rFonts w:ascii="Times New Roman" w:hAnsi="Times New Roman" w:cs="Times New Roman"/>
          <w:sz w:val="24"/>
          <w:szCs w:val="24"/>
        </w:rPr>
        <w:t>,</w:t>
      </w:r>
      <w:r w:rsidRPr="008215EA">
        <w:rPr>
          <w:rFonts w:ascii="Times New Roman" w:hAnsi="Times New Roman" w:cs="Times New Roman"/>
          <w:sz w:val="24"/>
          <w:szCs w:val="24"/>
        </w:rPr>
        <w:t xml:space="preserve"> как то установлено приведенными выше нормами закона, регулирующим порядок уплаты таковой.</w:t>
      </w:r>
    </w:p>
    <w:p w:rsidR="00AF3007" w:rsidRPr="008215EA" w:rsidRDefault="00AF3007" w:rsidP="008215EA">
      <w:pPr>
        <w:ind w:firstLine="567"/>
        <w:jc w:val="both"/>
      </w:pPr>
      <w:proofErr w:type="gramStart"/>
      <w:r w:rsidRPr="008215EA">
        <w:t xml:space="preserve">При этом частью второй пункта 5 разъяснения пленума Арбитражного суда ПМР </w:t>
      </w:r>
      <w:r w:rsidR="008215EA">
        <w:br/>
      </w:r>
      <w:r w:rsidRPr="008215EA">
        <w:t>№ 1 от 21 сентября 2012 года «</w:t>
      </w:r>
      <w:r w:rsidR="008215EA">
        <w:t>О</w:t>
      </w:r>
      <w:r w:rsidRPr="008215EA">
        <w:t xml:space="preserve"> некоторых вопросах применения законодательства о государственной пошлине», установлено следующее: когда уплата государственной пошлины в установленном порядке и размере произведена за истца другим лицом, следует исходить из того, что государственная пошлина фактически уплачена, зачислена в республиканский бюджет и, следовательно, оснований для оставления без</w:t>
      </w:r>
      <w:proofErr w:type="gramEnd"/>
      <w:r w:rsidRPr="008215EA">
        <w:t xml:space="preserve"> движения искового заявления (заявления) не имеется. Данное правило применимо в тех случаях, когда в платежном документе имеется прямое указание на то, что уплата государственной пошлины производится за истца.</w:t>
      </w:r>
    </w:p>
    <w:p w:rsidR="00AF3007" w:rsidRPr="008215EA" w:rsidRDefault="00AF3007" w:rsidP="008215EA">
      <w:pPr>
        <w:pStyle w:val="ac"/>
        <w:ind w:firstLine="567"/>
        <w:jc w:val="both"/>
        <w:rPr>
          <w:rFonts w:ascii="Times New Roman" w:hAnsi="Times New Roman" w:cs="Times New Roman"/>
          <w:sz w:val="24"/>
          <w:szCs w:val="24"/>
        </w:rPr>
      </w:pPr>
      <w:r w:rsidRPr="008215EA">
        <w:rPr>
          <w:rFonts w:ascii="Times New Roman" w:hAnsi="Times New Roman" w:cs="Times New Roman"/>
          <w:sz w:val="24"/>
          <w:szCs w:val="24"/>
        </w:rPr>
        <w:t xml:space="preserve">Между тем согласно информации, содержащейся в квитанции оплата государственной пошлины произведена И.М. </w:t>
      </w:r>
      <w:proofErr w:type="spellStart"/>
      <w:r w:rsidRPr="008215EA">
        <w:rPr>
          <w:rFonts w:ascii="Times New Roman" w:hAnsi="Times New Roman" w:cs="Times New Roman"/>
          <w:sz w:val="24"/>
          <w:szCs w:val="24"/>
        </w:rPr>
        <w:t>Поята</w:t>
      </w:r>
      <w:proofErr w:type="spellEnd"/>
      <w:r w:rsidRPr="008215EA">
        <w:rPr>
          <w:rFonts w:ascii="Times New Roman" w:hAnsi="Times New Roman" w:cs="Times New Roman"/>
          <w:sz w:val="24"/>
          <w:szCs w:val="24"/>
        </w:rPr>
        <w:t>, не являющегося заявителем по делу, в указанной квитанции отсутствует указание на то, что государственная пошлина произведена з</w:t>
      </w:r>
      <w:proofErr w:type="gramStart"/>
      <w:r w:rsidRPr="008215EA">
        <w:rPr>
          <w:rFonts w:ascii="Times New Roman" w:hAnsi="Times New Roman" w:cs="Times New Roman"/>
          <w:sz w:val="24"/>
          <w:szCs w:val="24"/>
        </w:rPr>
        <w:t>а ООО</w:t>
      </w:r>
      <w:proofErr w:type="gramEnd"/>
      <w:r w:rsidRPr="008215EA">
        <w:rPr>
          <w:rFonts w:ascii="Times New Roman" w:hAnsi="Times New Roman" w:cs="Times New Roman"/>
          <w:sz w:val="24"/>
          <w:szCs w:val="24"/>
        </w:rPr>
        <w:t xml:space="preserve"> «Славянский дом». </w:t>
      </w:r>
    </w:p>
    <w:p w:rsidR="00045CF6" w:rsidRPr="008215EA" w:rsidRDefault="00AF3007" w:rsidP="008215EA">
      <w:pPr>
        <w:ind w:firstLine="567"/>
        <w:jc w:val="both"/>
      </w:pPr>
      <w:proofErr w:type="gramStart"/>
      <w:r w:rsidRPr="008215EA">
        <w:t>Согласно пункту 5 приведенного выше разъяснения, с учетом положений статей 93,</w:t>
      </w:r>
      <w:r w:rsidR="00045CF6" w:rsidRPr="008215EA">
        <w:t xml:space="preserve"> 96-1 АПК ПМР, </w:t>
      </w:r>
      <w:r w:rsidRPr="008215EA">
        <w:t xml:space="preserve"> </w:t>
      </w:r>
      <w:r w:rsidR="00045CF6" w:rsidRPr="008215EA">
        <w:t>в случае если арбитражный суд при решении вопроса о принятии заявления установит, что заявителем не приложены доказательства уплаты в установленном размере и порядке, такое заявление подлежит оставлению без движения, а заявителю предлагается представить доказательства уплаты государственной пошлины.</w:t>
      </w:r>
      <w:proofErr w:type="gramEnd"/>
    </w:p>
    <w:p w:rsidR="00AF3007" w:rsidRPr="008215EA" w:rsidRDefault="00045CF6" w:rsidP="008215EA">
      <w:pPr>
        <w:pStyle w:val="ac"/>
        <w:ind w:firstLine="567"/>
        <w:jc w:val="both"/>
        <w:rPr>
          <w:rFonts w:ascii="Times New Roman" w:hAnsi="Times New Roman" w:cs="Times New Roman"/>
          <w:sz w:val="24"/>
          <w:szCs w:val="24"/>
        </w:rPr>
      </w:pPr>
      <w:r w:rsidRPr="008215EA">
        <w:rPr>
          <w:rFonts w:ascii="Times New Roman" w:hAnsi="Times New Roman" w:cs="Times New Roman"/>
          <w:sz w:val="24"/>
          <w:szCs w:val="24"/>
        </w:rPr>
        <w:t>Принимая во внимание установленные обстоятельства, свидетельствующие об отсутствии доказательств уплат</w:t>
      </w:r>
      <w:proofErr w:type="gramStart"/>
      <w:r w:rsidRPr="008215EA">
        <w:rPr>
          <w:rFonts w:ascii="Times New Roman" w:hAnsi="Times New Roman" w:cs="Times New Roman"/>
          <w:sz w:val="24"/>
          <w:szCs w:val="24"/>
        </w:rPr>
        <w:t>ы ООО</w:t>
      </w:r>
      <w:proofErr w:type="gramEnd"/>
      <w:r w:rsidRPr="008215EA">
        <w:rPr>
          <w:rFonts w:ascii="Times New Roman" w:hAnsi="Times New Roman" w:cs="Times New Roman"/>
          <w:sz w:val="24"/>
          <w:szCs w:val="24"/>
        </w:rPr>
        <w:t xml:space="preserve"> «Славянский дом» государственной пошлины, заявление подлежит оставлению без движения.</w:t>
      </w:r>
    </w:p>
    <w:p w:rsidR="00AF3007" w:rsidRPr="008215EA" w:rsidRDefault="00045CF6" w:rsidP="008215EA">
      <w:pPr>
        <w:pStyle w:val="ac"/>
        <w:ind w:firstLine="567"/>
        <w:jc w:val="both"/>
        <w:rPr>
          <w:rFonts w:ascii="Times New Roman" w:hAnsi="Times New Roman" w:cs="Times New Roman"/>
          <w:sz w:val="24"/>
          <w:szCs w:val="24"/>
        </w:rPr>
      </w:pPr>
      <w:r w:rsidRPr="008215EA">
        <w:rPr>
          <w:rFonts w:ascii="Times New Roman" w:hAnsi="Times New Roman" w:cs="Times New Roman"/>
          <w:sz w:val="24"/>
          <w:szCs w:val="24"/>
        </w:rPr>
        <w:t>Оставляя заявление ООО «Славянский дом» без движения, суд обращает внимание заявителя на следующее.</w:t>
      </w:r>
    </w:p>
    <w:tbl>
      <w:tblPr>
        <w:tblW w:w="0" w:type="auto"/>
        <w:tblLook w:val="01E0"/>
      </w:tblPr>
      <w:tblGrid>
        <w:gridCol w:w="9570"/>
      </w:tblGrid>
      <w:tr w:rsidR="00045CF6" w:rsidRPr="008215EA" w:rsidTr="00C70D72">
        <w:tc>
          <w:tcPr>
            <w:tcW w:w="9570" w:type="dxa"/>
          </w:tcPr>
          <w:p w:rsidR="00045CF6" w:rsidRPr="008215EA" w:rsidRDefault="00045CF6" w:rsidP="008215EA">
            <w:pPr>
              <w:ind w:firstLine="567"/>
              <w:jc w:val="both"/>
            </w:pPr>
            <w:r w:rsidRPr="008215EA">
              <w:t xml:space="preserve">Заявление об установлении юридического факта оплачивается государственной пошлиной в  размере, установленном подпунктом 6 пункта 2 статьи 4   Законом ПМР «О государственной пошлине». По делам, рассматриваемым в Арбитражном суде, государственная пошлина </w:t>
            </w:r>
            <w:r w:rsidRPr="008215EA">
              <w:t>с заявлений об установлении  фактов, имеющих юридическое значение</w:t>
            </w:r>
            <w:r w:rsidR="0097615B" w:rsidRPr="008215EA">
              <w:t>,</w:t>
            </w:r>
            <w:r w:rsidRPr="008215EA">
              <w:t xml:space="preserve"> взимается в </w:t>
            </w:r>
            <w:r w:rsidRPr="008215EA">
              <w:t>двадцатикратн</w:t>
            </w:r>
            <w:r w:rsidRPr="008215EA">
              <w:t>ом</w:t>
            </w:r>
            <w:r w:rsidRPr="008215EA">
              <w:t xml:space="preserve"> размер</w:t>
            </w:r>
            <w:r w:rsidRPr="008215EA">
              <w:t>е</w:t>
            </w:r>
            <w:r w:rsidRPr="008215EA">
              <w:t xml:space="preserve"> РУ МЗП</w:t>
            </w:r>
            <w:r w:rsidRPr="008215EA">
              <w:t xml:space="preserve">. </w:t>
            </w:r>
          </w:p>
          <w:p w:rsidR="00045CF6" w:rsidRPr="008215EA" w:rsidRDefault="00045CF6" w:rsidP="008215EA">
            <w:pPr>
              <w:tabs>
                <w:tab w:val="right" w:pos="9355"/>
              </w:tabs>
              <w:ind w:firstLine="567"/>
              <w:jc w:val="both"/>
            </w:pPr>
            <w:r w:rsidRPr="008215EA">
              <w:t xml:space="preserve">Как следует из содержания заявления и приложенных к нему документов заявитель просит </w:t>
            </w:r>
            <w:r w:rsidR="0097615B" w:rsidRPr="008215EA">
              <w:t>у</w:t>
            </w:r>
            <w:r w:rsidRPr="008215EA">
              <w:t>становить факт принадлежности на праве собственности з</w:t>
            </w:r>
            <w:proofErr w:type="gramStart"/>
            <w:r w:rsidRPr="008215EA">
              <w:t>а ООО</w:t>
            </w:r>
            <w:proofErr w:type="gramEnd"/>
            <w:r w:rsidRPr="008215EA">
              <w:t xml:space="preserve"> «Славянский дом» на следующие 6  (шесть) объектов  недвижимого имущества:</w:t>
            </w:r>
          </w:p>
          <w:p w:rsidR="00045CF6" w:rsidRPr="008215EA" w:rsidRDefault="00045CF6" w:rsidP="008215EA">
            <w:pPr>
              <w:ind w:firstLine="567"/>
              <w:jc w:val="both"/>
            </w:pPr>
            <w:r w:rsidRPr="008215EA">
              <w:t>1)</w:t>
            </w:r>
            <w:r w:rsidR="00301D78" w:rsidRPr="008215EA">
              <w:t xml:space="preserve"> </w:t>
            </w:r>
            <w:r w:rsidRPr="008215EA">
              <w:t xml:space="preserve">комплекс строений молочно-товарной фермы расположенный </w:t>
            </w:r>
            <w:proofErr w:type="gramStart"/>
            <w:r w:rsidRPr="008215EA">
              <w:t>в</w:t>
            </w:r>
            <w:proofErr w:type="gramEnd"/>
            <w:r w:rsidRPr="008215EA">
              <w:t xml:space="preserve"> с. Тея </w:t>
            </w:r>
            <w:proofErr w:type="spellStart"/>
            <w:r w:rsidRPr="008215EA">
              <w:t>Григориопольского</w:t>
            </w:r>
            <w:proofErr w:type="spellEnd"/>
            <w:r w:rsidRPr="008215EA">
              <w:t xml:space="preserve"> района, </w:t>
            </w:r>
          </w:p>
          <w:p w:rsidR="00045CF6" w:rsidRPr="008215EA" w:rsidRDefault="00045CF6" w:rsidP="008215EA">
            <w:pPr>
              <w:ind w:firstLine="567"/>
              <w:jc w:val="both"/>
            </w:pPr>
            <w:r w:rsidRPr="008215EA">
              <w:t>2)</w:t>
            </w:r>
            <w:r w:rsidR="00301D78" w:rsidRPr="008215EA">
              <w:t xml:space="preserve"> </w:t>
            </w:r>
            <w:r w:rsidRPr="008215EA">
              <w:t xml:space="preserve">склад с подвалом, расположенный </w:t>
            </w:r>
            <w:proofErr w:type="gramStart"/>
            <w:r w:rsidRPr="008215EA">
              <w:t>в</w:t>
            </w:r>
            <w:proofErr w:type="gramEnd"/>
            <w:r w:rsidRPr="008215EA">
              <w:t xml:space="preserve"> </w:t>
            </w:r>
            <w:proofErr w:type="gramStart"/>
            <w:r w:rsidRPr="008215EA">
              <w:t>с</w:t>
            </w:r>
            <w:proofErr w:type="gramEnd"/>
            <w:r w:rsidRPr="008215EA">
              <w:t xml:space="preserve">. Тея </w:t>
            </w:r>
            <w:proofErr w:type="spellStart"/>
            <w:r w:rsidRPr="008215EA">
              <w:t>Григориопольского</w:t>
            </w:r>
            <w:proofErr w:type="spellEnd"/>
            <w:r w:rsidRPr="008215EA">
              <w:t xml:space="preserve"> района, ул. Ворошил</w:t>
            </w:r>
            <w:r w:rsidR="00301D78" w:rsidRPr="008215EA">
              <w:t>ова, 4, общая площадь 300 м.кв.,</w:t>
            </w:r>
          </w:p>
          <w:p w:rsidR="00045CF6" w:rsidRPr="008215EA" w:rsidRDefault="00045CF6" w:rsidP="008215EA">
            <w:pPr>
              <w:ind w:firstLine="567"/>
              <w:jc w:val="both"/>
            </w:pPr>
            <w:r w:rsidRPr="008215EA">
              <w:t>3)</w:t>
            </w:r>
            <w:r w:rsidR="00301D78" w:rsidRPr="008215EA">
              <w:t xml:space="preserve"> </w:t>
            </w:r>
            <w:r w:rsidRPr="008215EA">
              <w:t xml:space="preserve">насосная станция, площадью 73 м.кв., </w:t>
            </w:r>
          </w:p>
          <w:p w:rsidR="00045CF6" w:rsidRPr="008215EA" w:rsidRDefault="00045CF6" w:rsidP="008215EA">
            <w:pPr>
              <w:ind w:firstLine="567"/>
              <w:jc w:val="both"/>
            </w:pPr>
            <w:r w:rsidRPr="008215EA">
              <w:t>4)</w:t>
            </w:r>
            <w:r w:rsidR="00301D78" w:rsidRPr="008215EA">
              <w:t xml:space="preserve"> </w:t>
            </w:r>
            <w:r w:rsidRPr="008215EA">
              <w:t>компле</w:t>
            </w:r>
            <w:proofErr w:type="gramStart"/>
            <w:r w:rsidRPr="008215EA">
              <w:t>кс стр</w:t>
            </w:r>
            <w:proofErr w:type="gramEnd"/>
            <w:r w:rsidRPr="008215EA">
              <w:t xml:space="preserve">оений Бригадный стан, </w:t>
            </w:r>
          </w:p>
          <w:p w:rsidR="00045CF6" w:rsidRPr="008215EA" w:rsidRDefault="00045CF6" w:rsidP="008215EA">
            <w:pPr>
              <w:ind w:firstLine="567"/>
              <w:jc w:val="both"/>
            </w:pPr>
            <w:r w:rsidRPr="008215EA">
              <w:t>5)</w:t>
            </w:r>
            <w:r w:rsidR="00301D78" w:rsidRPr="008215EA">
              <w:t xml:space="preserve"> </w:t>
            </w:r>
            <w:r w:rsidRPr="008215EA">
              <w:t>компле</w:t>
            </w:r>
            <w:proofErr w:type="gramStart"/>
            <w:r w:rsidRPr="008215EA">
              <w:t>кс стр</w:t>
            </w:r>
            <w:proofErr w:type="gramEnd"/>
            <w:r w:rsidRPr="008215EA">
              <w:t xml:space="preserve">оений «Бригада №3», </w:t>
            </w:r>
          </w:p>
          <w:p w:rsidR="00045CF6" w:rsidRPr="008215EA" w:rsidRDefault="00045CF6" w:rsidP="008215EA">
            <w:pPr>
              <w:ind w:firstLine="567"/>
              <w:jc w:val="both"/>
            </w:pPr>
            <w:r w:rsidRPr="008215EA">
              <w:t>6)</w:t>
            </w:r>
            <w:r w:rsidR="00301D78" w:rsidRPr="008215EA">
              <w:t xml:space="preserve"> </w:t>
            </w:r>
            <w:r w:rsidRPr="008215EA">
              <w:t>компле</w:t>
            </w:r>
            <w:proofErr w:type="gramStart"/>
            <w:r w:rsidRPr="008215EA">
              <w:t>кс стр</w:t>
            </w:r>
            <w:proofErr w:type="gramEnd"/>
            <w:r w:rsidRPr="008215EA">
              <w:t>оений «Бригада №3» (весовая с навесом)</w:t>
            </w:r>
            <w:r w:rsidR="00301D78" w:rsidRPr="008215EA">
              <w:t>.</w:t>
            </w:r>
          </w:p>
          <w:p w:rsidR="00045CF6" w:rsidRPr="008215EA" w:rsidRDefault="00045CF6" w:rsidP="008215EA">
            <w:pPr>
              <w:pStyle w:val="ac"/>
              <w:ind w:firstLine="567"/>
              <w:jc w:val="both"/>
              <w:rPr>
                <w:rFonts w:ascii="Times New Roman" w:hAnsi="Times New Roman" w:cs="Times New Roman"/>
                <w:sz w:val="24"/>
                <w:szCs w:val="24"/>
              </w:rPr>
            </w:pPr>
          </w:p>
        </w:tc>
      </w:tr>
    </w:tbl>
    <w:p w:rsidR="00C3358D" w:rsidRPr="008215EA" w:rsidRDefault="00C3358D" w:rsidP="008215EA">
      <w:pPr>
        <w:ind w:firstLine="567"/>
        <w:jc w:val="both"/>
      </w:pPr>
      <w:r w:rsidRPr="008215EA">
        <w:t>Под объектом недвижимого имущества по делам об установлении юридических фактов следует понимать комплекс зданий и сооружений,  отраженных в инвентарном  деле (деле технической инвентаризации) как единый объект.</w:t>
      </w:r>
      <w:r w:rsidR="00301D78" w:rsidRPr="008215EA">
        <w:t xml:space="preserve"> Принимая во внимание заявленные требования в отношении шести объектов, представленные инвентарные дела в отношении тех же шести объектов, суд</w:t>
      </w:r>
      <w:r w:rsidR="0097615B" w:rsidRPr="008215EA">
        <w:t xml:space="preserve"> приходит к выводу о том, что заявителем в соответствии с частью первой статьи 94 АПК ПМР соединены в заявлении несколько требований, связанных между собой.</w:t>
      </w:r>
      <w:r w:rsidR="00301D78" w:rsidRPr="008215EA">
        <w:t xml:space="preserve"> </w:t>
      </w:r>
      <w:r w:rsidR="0097615B" w:rsidRPr="008215EA">
        <w:t xml:space="preserve">При таких обстоятельствах, Арбитражный суд, </w:t>
      </w:r>
      <w:r w:rsidR="00301D78" w:rsidRPr="008215EA">
        <w:t xml:space="preserve">руководствуясь </w:t>
      </w:r>
      <w:r w:rsidR="0097615B" w:rsidRPr="008215EA">
        <w:t>Законом «</w:t>
      </w:r>
      <w:r w:rsidR="008215EA" w:rsidRPr="008215EA">
        <w:t>О</w:t>
      </w:r>
      <w:r w:rsidR="0097615B" w:rsidRPr="008215EA">
        <w:t xml:space="preserve"> государственной пошлине»</w:t>
      </w:r>
      <w:r w:rsidR="008215EA" w:rsidRPr="008215EA">
        <w:t xml:space="preserve">, </w:t>
      </w:r>
      <w:r w:rsidR="00301D78" w:rsidRPr="008215EA">
        <w:t xml:space="preserve">положениями пункта 6 </w:t>
      </w:r>
      <w:r w:rsidR="00301D78" w:rsidRPr="008215EA">
        <w:lastRenderedPageBreak/>
        <w:t xml:space="preserve">Постановления Пленума Арбитражного суда ПМР от 4 февраля 2011 года «О судебной практике по установлению фактов, имеющих юридическое значение» приходит к выводу о том, что заявителю надлежит произвести установленную законом оплату государственной полшины за каждое </w:t>
      </w:r>
      <w:r w:rsidR="0097615B" w:rsidRPr="008215EA">
        <w:t>из тр</w:t>
      </w:r>
      <w:r w:rsidR="00301D78" w:rsidRPr="008215EA">
        <w:t>ебовани</w:t>
      </w:r>
      <w:r w:rsidR="0097615B" w:rsidRPr="008215EA">
        <w:t>й</w:t>
      </w:r>
      <w:r w:rsidR="008215EA" w:rsidRPr="008215EA">
        <w:t>.</w:t>
      </w:r>
    </w:p>
    <w:p w:rsidR="004D2991" w:rsidRPr="008215EA" w:rsidRDefault="004D2991" w:rsidP="008215EA">
      <w:pPr>
        <w:ind w:firstLine="567"/>
        <w:jc w:val="both"/>
      </w:pPr>
      <w:r w:rsidRPr="008215EA">
        <w:t>Принимая во внимание изложенное, руководствуясь статьями 96-1, 128 АПК ПМР, Арбитражный суд Приднестровской Молдавской Республики,</w:t>
      </w:r>
    </w:p>
    <w:p w:rsidR="004D2991" w:rsidRPr="008215EA" w:rsidRDefault="004D2991" w:rsidP="008215EA">
      <w:pPr>
        <w:ind w:firstLine="567"/>
        <w:jc w:val="both"/>
      </w:pPr>
    </w:p>
    <w:p w:rsidR="0094034D" w:rsidRPr="008215EA" w:rsidRDefault="0094034D" w:rsidP="008215EA">
      <w:pPr>
        <w:ind w:firstLine="567"/>
        <w:jc w:val="center"/>
        <w:outlineLvl w:val="0"/>
        <w:rPr>
          <w:b/>
        </w:rPr>
      </w:pPr>
      <w:r w:rsidRPr="008215EA">
        <w:rPr>
          <w:b/>
        </w:rPr>
        <w:t xml:space="preserve">О </w:t>
      </w:r>
      <w:proofErr w:type="gramStart"/>
      <w:r w:rsidRPr="008215EA">
        <w:rPr>
          <w:b/>
        </w:rPr>
        <w:t>П</w:t>
      </w:r>
      <w:proofErr w:type="gramEnd"/>
      <w:r w:rsidRPr="008215EA">
        <w:rPr>
          <w:b/>
        </w:rPr>
        <w:t xml:space="preserve"> Р Е Д Е Л И Л:</w:t>
      </w:r>
    </w:p>
    <w:p w:rsidR="0094034D" w:rsidRPr="008215EA" w:rsidRDefault="0094034D" w:rsidP="008215EA">
      <w:pPr>
        <w:ind w:firstLine="567"/>
        <w:jc w:val="both"/>
        <w:outlineLvl w:val="0"/>
        <w:rPr>
          <w:b/>
        </w:rPr>
      </w:pPr>
    </w:p>
    <w:p w:rsidR="0094034D" w:rsidRPr="008215EA" w:rsidRDefault="00793520" w:rsidP="008215EA">
      <w:pPr>
        <w:numPr>
          <w:ilvl w:val="0"/>
          <w:numId w:val="2"/>
        </w:numPr>
        <w:ind w:left="0" w:firstLine="567"/>
        <w:jc w:val="both"/>
      </w:pPr>
      <w:r w:rsidRPr="008215EA">
        <w:t>З</w:t>
      </w:r>
      <w:r w:rsidR="0094034D" w:rsidRPr="008215EA">
        <w:t xml:space="preserve">аявление </w:t>
      </w:r>
      <w:r w:rsidR="008215EA" w:rsidRPr="008215EA">
        <w:t xml:space="preserve">общества с ограниченной ответственностью «Славянский дом» </w:t>
      </w:r>
      <w:r w:rsidRPr="008215EA">
        <w:t>об установлении факта принадлежности</w:t>
      </w:r>
      <w:r w:rsidR="008215EA" w:rsidRPr="008215EA">
        <w:t xml:space="preserve"> на праве собственности объектов</w:t>
      </w:r>
      <w:r w:rsidRPr="008215EA">
        <w:t xml:space="preserve"> недвижимого имущества</w:t>
      </w:r>
      <w:r w:rsidR="004D2991" w:rsidRPr="008215EA">
        <w:t xml:space="preserve"> </w:t>
      </w:r>
      <w:r w:rsidR="0094034D" w:rsidRPr="008215EA">
        <w:t xml:space="preserve"> оставить без движения.</w:t>
      </w:r>
    </w:p>
    <w:p w:rsidR="0094034D" w:rsidRPr="008215EA" w:rsidRDefault="0094034D" w:rsidP="008215EA">
      <w:pPr>
        <w:numPr>
          <w:ilvl w:val="0"/>
          <w:numId w:val="2"/>
        </w:numPr>
        <w:ind w:left="0" w:firstLine="567"/>
        <w:jc w:val="both"/>
      </w:pPr>
      <w:r w:rsidRPr="008215EA">
        <w:t xml:space="preserve">Предложить </w:t>
      </w:r>
      <w:r w:rsidR="00793520" w:rsidRPr="008215EA">
        <w:t>заявителю</w:t>
      </w:r>
      <w:r w:rsidR="004D2991" w:rsidRPr="008215EA">
        <w:t xml:space="preserve"> </w:t>
      </w:r>
      <w:r w:rsidRPr="008215EA">
        <w:t xml:space="preserve">в срок </w:t>
      </w:r>
      <w:r w:rsidRPr="008215EA">
        <w:rPr>
          <w:b/>
        </w:rPr>
        <w:t xml:space="preserve">до </w:t>
      </w:r>
      <w:r w:rsidR="008215EA" w:rsidRPr="008215EA">
        <w:rPr>
          <w:b/>
        </w:rPr>
        <w:t>30 мая</w:t>
      </w:r>
      <w:r w:rsidR="004D2991" w:rsidRPr="008215EA">
        <w:rPr>
          <w:b/>
        </w:rPr>
        <w:t xml:space="preserve"> </w:t>
      </w:r>
      <w:r w:rsidRPr="008215EA">
        <w:rPr>
          <w:b/>
        </w:rPr>
        <w:t>201</w:t>
      </w:r>
      <w:r w:rsidR="004D2991" w:rsidRPr="008215EA">
        <w:rPr>
          <w:b/>
        </w:rPr>
        <w:t>9</w:t>
      </w:r>
      <w:r w:rsidRPr="008215EA">
        <w:rPr>
          <w:b/>
        </w:rPr>
        <w:t xml:space="preserve"> года включительно</w:t>
      </w:r>
      <w:r w:rsidRPr="008215EA">
        <w:t xml:space="preserve"> устранить допущенные нарушения Арбитражного процессуального кодекса Приднестровской Молдавской Республики.</w:t>
      </w:r>
    </w:p>
    <w:p w:rsidR="0094034D" w:rsidRPr="008215EA" w:rsidRDefault="0094034D" w:rsidP="008215EA">
      <w:pPr>
        <w:numPr>
          <w:ilvl w:val="0"/>
          <w:numId w:val="2"/>
        </w:numPr>
        <w:ind w:left="0" w:firstLine="567"/>
        <w:jc w:val="both"/>
      </w:pPr>
      <w:r w:rsidRPr="008215EA">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94034D" w:rsidRPr="008215EA" w:rsidRDefault="0094034D" w:rsidP="008215EA">
      <w:pPr>
        <w:ind w:firstLine="567"/>
        <w:jc w:val="both"/>
        <w:outlineLvl w:val="0"/>
      </w:pPr>
    </w:p>
    <w:p w:rsidR="0094034D" w:rsidRPr="008215EA" w:rsidRDefault="0094034D" w:rsidP="008215EA">
      <w:pPr>
        <w:ind w:firstLine="567"/>
        <w:jc w:val="both"/>
        <w:outlineLvl w:val="0"/>
      </w:pPr>
      <w:r w:rsidRPr="008215EA">
        <w:t xml:space="preserve">Определение не обжалуется. </w:t>
      </w:r>
    </w:p>
    <w:p w:rsidR="0094034D" w:rsidRPr="008215EA" w:rsidRDefault="0094034D" w:rsidP="008215EA">
      <w:pPr>
        <w:ind w:firstLine="567"/>
        <w:jc w:val="both"/>
      </w:pPr>
    </w:p>
    <w:p w:rsidR="0094034D" w:rsidRPr="008215EA" w:rsidRDefault="0094034D" w:rsidP="008215EA">
      <w:pPr>
        <w:ind w:firstLine="567"/>
        <w:jc w:val="both"/>
        <w:outlineLvl w:val="0"/>
        <w:rPr>
          <w:b/>
        </w:rPr>
      </w:pPr>
      <w:r w:rsidRPr="008215EA">
        <w:rPr>
          <w:b/>
        </w:rPr>
        <w:t xml:space="preserve">Судья Арбитражного суда </w:t>
      </w:r>
    </w:p>
    <w:p w:rsidR="0094034D" w:rsidRPr="008215EA" w:rsidRDefault="0094034D" w:rsidP="008215EA">
      <w:pPr>
        <w:ind w:firstLine="567"/>
        <w:jc w:val="both"/>
        <w:rPr>
          <w:b/>
        </w:rPr>
      </w:pPr>
      <w:r w:rsidRPr="008215EA">
        <w:rPr>
          <w:b/>
        </w:rPr>
        <w:t xml:space="preserve">Приднестровской Молдавской Республики                                   Т. И. </w:t>
      </w:r>
      <w:proofErr w:type="spellStart"/>
      <w:r w:rsidRPr="008215EA">
        <w:rPr>
          <w:b/>
        </w:rPr>
        <w:t>Цыганаш</w:t>
      </w:r>
      <w:proofErr w:type="spellEnd"/>
      <w:r w:rsidRPr="008215EA">
        <w:rPr>
          <w:b/>
        </w:rPr>
        <w:t xml:space="preserve"> </w:t>
      </w:r>
    </w:p>
    <w:sectPr w:rsidR="0094034D" w:rsidRPr="008215EA" w:rsidSect="004D2991">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17D" w:rsidRDefault="0042417D" w:rsidP="00747910">
      <w:r>
        <w:separator/>
      </w:r>
    </w:p>
  </w:endnote>
  <w:endnote w:type="continuationSeparator" w:id="1">
    <w:p w:rsidR="0042417D" w:rsidRDefault="0042417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4D" w:rsidRDefault="0094034D">
    <w:pPr>
      <w:pStyle w:val="a7"/>
      <w:jc w:val="right"/>
    </w:pPr>
    <w:fldSimple w:instr=" PAGE   \* MERGEFORMAT ">
      <w:r w:rsidR="005A2ACE">
        <w:rPr>
          <w:noProof/>
        </w:rPr>
        <w:t>3</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17D" w:rsidRDefault="0042417D" w:rsidP="00747910">
      <w:r>
        <w:separator/>
      </w:r>
    </w:p>
  </w:footnote>
  <w:footnote w:type="continuationSeparator" w:id="1">
    <w:p w:rsidR="0042417D" w:rsidRDefault="0042417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10578"/>
    <w:rsid w:val="000400F3"/>
    <w:rsid w:val="00045CF6"/>
    <w:rsid w:val="00081B5A"/>
    <w:rsid w:val="000C4195"/>
    <w:rsid w:val="000C512D"/>
    <w:rsid w:val="000C64A5"/>
    <w:rsid w:val="000E2672"/>
    <w:rsid w:val="000E5906"/>
    <w:rsid w:val="000F42BB"/>
    <w:rsid w:val="001462AA"/>
    <w:rsid w:val="001823B7"/>
    <w:rsid w:val="001979FD"/>
    <w:rsid w:val="001A48C1"/>
    <w:rsid w:val="001C1B4F"/>
    <w:rsid w:val="001D3D23"/>
    <w:rsid w:val="00212E13"/>
    <w:rsid w:val="002431E5"/>
    <w:rsid w:val="0026059C"/>
    <w:rsid w:val="002935E2"/>
    <w:rsid w:val="002D2926"/>
    <w:rsid w:val="002E6B84"/>
    <w:rsid w:val="00301D78"/>
    <w:rsid w:val="00303D72"/>
    <w:rsid w:val="003331A5"/>
    <w:rsid w:val="00365A17"/>
    <w:rsid w:val="00381CF3"/>
    <w:rsid w:val="003A617A"/>
    <w:rsid w:val="00424065"/>
    <w:rsid w:val="0042417D"/>
    <w:rsid w:val="00435D1A"/>
    <w:rsid w:val="00444EB1"/>
    <w:rsid w:val="004879A9"/>
    <w:rsid w:val="004A01C7"/>
    <w:rsid w:val="004B0F41"/>
    <w:rsid w:val="004C56EA"/>
    <w:rsid w:val="004C701C"/>
    <w:rsid w:val="004D2991"/>
    <w:rsid w:val="004F7B6D"/>
    <w:rsid w:val="00513807"/>
    <w:rsid w:val="0051667D"/>
    <w:rsid w:val="00533BE1"/>
    <w:rsid w:val="00560AE1"/>
    <w:rsid w:val="005A2ACE"/>
    <w:rsid w:val="005A6736"/>
    <w:rsid w:val="006430FC"/>
    <w:rsid w:val="00690DEA"/>
    <w:rsid w:val="00694E57"/>
    <w:rsid w:val="006970F6"/>
    <w:rsid w:val="006976EB"/>
    <w:rsid w:val="006C6D2B"/>
    <w:rsid w:val="006E570D"/>
    <w:rsid w:val="00710036"/>
    <w:rsid w:val="00717526"/>
    <w:rsid w:val="00747910"/>
    <w:rsid w:val="00750035"/>
    <w:rsid w:val="0075091C"/>
    <w:rsid w:val="00793520"/>
    <w:rsid w:val="007A51C3"/>
    <w:rsid w:val="007F6115"/>
    <w:rsid w:val="00813A13"/>
    <w:rsid w:val="008215EA"/>
    <w:rsid w:val="008273B9"/>
    <w:rsid w:val="00833454"/>
    <w:rsid w:val="00861844"/>
    <w:rsid w:val="008A11D6"/>
    <w:rsid w:val="008B4D79"/>
    <w:rsid w:val="008F60C5"/>
    <w:rsid w:val="008F64F3"/>
    <w:rsid w:val="00900716"/>
    <w:rsid w:val="00903238"/>
    <w:rsid w:val="00904994"/>
    <w:rsid w:val="00917458"/>
    <w:rsid w:val="00926900"/>
    <w:rsid w:val="0094034D"/>
    <w:rsid w:val="0097615B"/>
    <w:rsid w:val="00991CBB"/>
    <w:rsid w:val="00997222"/>
    <w:rsid w:val="009977D8"/>
    <w:rsid w:val="009B61B4"/>
    <w:rsid w:val="00A032B6"/>
    <w:rsid w:val="00A42F10"/>
    <w:rsid w:val="00A654E1"/>
    <w:rsid w:val="00AB326C"/>
    <w:rsid w:val="00AC6E73"/>
    <w:rsid w:val="00AD5EF6"/>
    <w:rsid w:val="00AE51C6"/>
    <w:rsid w:val="00AF3007"/>
    <w:rsid w:val="00AF591D"/>
    <w:rsid w:val="00B61D55"/>
    <w:rsid w:val="00BE7BA6"/>
    <w:rsid w:val="00C3358D"/>
    <w:rsid w:val="00C3734A"/>
    <w:rsid w:val="00C43442"/>
    <w:rsid w:val="00C51666"/>
    <w:rsid w:val="00C77370"/>
    <w:rsid w:val="00CA1791"/>
    <w:rsid w:val="00CC4A9F"/>
    <w:rsid w:val="00CC555F"/>
    <w:rsid w:val="00D90A20"/>
    <w:rsid w:val="00D96E34"/>
    <w:rsid w:val="00E265BC"/>
    <w:rsid w:val="00E37C05"/>
    <w:rsid w:val="00E37FF1"/>
    <w:rsid w:val="00E45F1F"/>
    <w:rsid w:val="00E47763"/>
    <w:rsid w:val="00E5413B"/>
    <w:rsid w:val="00E6678D"/>
    <w:rsid w:val="00E67E5E"/>
    <w:rsid w:val="00E90DB1"/>
    <w:rsid w:val="00E92C98"/>
    <w:rsid w:val="00E975E9"/>
    <w:rsid w:val="00ED67B4"/>
    <w:rsid w:val="00F16008"/>
    <w:rsid w:val="00F253A2"/>
    <w:rsid w:val="00F6285A"/>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94034D"/>
    <w:rPr>
      <w:rFonts w:ascii="Tahoma" w:hAnsi="Tahoma" w:cs="Tahoma"/>
      <w:sz w:val="16"/>
      <w:szCs w:val="16"/>
    </w:rPr>
  </w:style>
  <w:style w:type="character" w:customStyle="1" w:styleId="ab">
    <w:name w:val="Схема документа Знак"/>
    <w:basedOn w:val="a0"/>
    <w:link w:val="aa"/>
    <w:rsid w:val="0094034D"/>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Зн"/>
    <w:basedOn w:val="a"/>
    <w:link w:val="1"/>
    <w:rsid w:val="004D2991"/>
    <w:rPr>
      <w:rFonts w:ascii="Courier New" w:hAnsi="Courier New" w:cs="Courier New"/>
      <w:sz w:val="20"/>
      <w:szCs w:val="20"/>
    </w:rPr>
  </w:style>
  <w:style w:type="character" w:customStyle="1" w:styleId="ad">
    <w:name w:val="Текст Знак"/>
    <w:basedOn w:val="a0"/>
    <w:link w:val="ac"/>
    <w:rsid w:val="004D2991"/>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uiPriority w:val="99"/>
    <w:rsid w:val="004D2991"/>
    <w:rPr>
      <w:rFonts w:ascii="Courier New" w:hAnsi="Courier New" w:cs="Courier New"/>
    </w:rPr>
  </w:style>
  <w:style w:type="character" w:customStyle="1" w:styleId="10">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513807"/>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78087641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933</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2019-05-15T11:57:00Z</cp:lastPrinted>
  <dcterms:created xsi:type="dcterms:W3CDTF">2019-05-15T12:00:00Z</dcterms:created>
  <dcterms:modified xsi:type="dcterms:W3CDTF">2019-05-15T12:00:00Z</dcterms:modified>
</cp:coreProperties>
</file>