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Layout w:type="fixed"/>
        <w:tblLook w:val="01E0"/>
      </w:tblPr>
      <w:tblGrid>
        <w:gridCol w:w="3969"/>
      </w:tblGrid>
      <w:tr w:rsidR="00865BE2" w:rsidRPr="00993BDD" w:rsidTr="002C319D">
        <w:trPr>
          <w:trHeight w:val="259"/>
        </w:trPr>
        <w:tc>
          <w:tcPr>
            <w:tcW w:w="3969" w:type="dxa"/>
          </w:tcPr>
          <w:p w:rsidR="00865BE2" w:rsidRPr="00993BDD" w:rsidRDefault="00865BE2" w:rsidP="002C3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2517002</wp:posOffset>
                  </wp:positionH>
                  <wp:positionV relativeFrom="paragraph">
                    <wp:posOffset>-290720</wp:posOffset>
                  </wp:positionV>
                  <wp:extent cx="987591" cy="993913"/>
                  <wp:effectExtent l="19050" t="0" r="3009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91" cy="99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865BE2" w:rsidRPr="00993BDD" w:rsidTr="002C319D">
        <w:tc>
          <w:tcPr>
            <w:tcW w:w="3969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BE2" w:rsidRPr="00993BDD" w:rsidTr="002C319D">
        <w:tc>
          <w:tcPr>
            <w:tcW w:w="3969" w:type="dxa"/>
          </w:tcPr>
          <w:p w:rsidR="00865BE2" w:rsidRPr="00993BDD" w:rsidRDefault="00865BE2" w:rsidP="002C31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865BE2" w:rsidRPr="00993BDD" w:rsidTr="002C319D">
        <w:trPr>
          <w:trHeight w:val="342"/>
        </w:trPr>
        <w:tc>
          <w:tcPr>
            <w:tcW w:w="3888" w:type="dxa"/>
            <w:shd w:val="clear" w:color="auto" w:fill="auto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65BE2" w:rsidRPr="00993BDD" w:rsidRDefault="005F2C9F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865BE2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865BE2" w:rsidRPr="00993BDD" w:rsidRDefault="00865BE2" w:rsidP="00865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865BE2" w:rsidRPr="00993BDD" w:rsidRDefault="00865BE2" w:rsidP="0086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865BE2" w:rsidRPr="00993BDD" w:rsidTr="002C319D">
        <w:trPr>
          <w:trHeight w:val="259"/>
        </w:trPr>
        <w:tc>
          <w:tcPr>
            <w:tcW w:w="4952" w:type="dxa"/>
            <w:gridSpan w:val="7"/>
          </w:tcPr>
          <w:p w:rsidR="00865BE2" w:rsidRPr="00993BDD" w:rsidRDefault="00865BE2" w:rsidP="00865B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февраля 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865BE2" w:rsidRPr="00993BDD" w:rsidTr="002C319D">
        <w:tc>
          <w:tcPr>
            <w:tcW w:w="1199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5BE2" w:rsidRPr="00993BDD" w:rsidRDefault="00865BE2" w:rsidP="002C319D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BE2" w:rsidRPr="00993BDD" w:rsidTr="002C319D">
        <w:tc>
          <w:tcPr>
            <w:tcW w:w="1985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BE2" w:rsidRPr="00993BDD" w:rsidTr="002C319D">
        <w:trPr>
          <w:trHeight w:val="103"/>
        </w:trPr>
        <w:tc>
          <w:tcPr>
            <w:tcW w:w="1199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BE2" w:rsidRPr="00993BDD" w:rsidTr="002C319D">
        <w:tc>
          <w:tcPr>
            <w:tcW w:w="1199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865BE2" w:rsidRPr="00993BDD" w:rsidRDefault="00865BE2" w:rsidP="002C319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>недействительным  Предписания  Налоговой инспекции по г. Тирасполь № 114-0888-18 от 29 августа 2018 года по акту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993B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- Кириченко О.В. по доверенности от 20 августа 2018 года                 № 21/08-12;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Тирасполь – Добровольск</w:t>
      </w:r>
      <w:r w:rsidR="003150E2">
        <w:rPr>
          <w:rStyle w:val="FontStyle14"/>
          <w:sz w:val="24"/>
          <w:szCs w:val="24"/>
        </w:rPr>
        <w:t>ого</w:t>
      </w:r>
      <w:r>
        <w:rPr>
          <w:rStyle w:val="FontStyle14"/>
          <w:sz w:val="24"/>
          <w:szCs w:val="24"/>
        </w:rPr>
        <w:t xml:space="preserve"> Д.А, по доверенности от 20 сентября 2018 года № 04-12886,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 № 08-15120 от 12 ноября 2018 года, </w:t>
      </w:r>
    </w:p>
    <w:p w:rsidR="00865BE2" w:rsidRPr="00993BDD" w:rsidRDefault="00865BE2" w:rsidP="00865BE2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865BE2" w:rsidRDefault="00865BE2" w:rsidP="00865BE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 основаниям, указанным в мотивированных определениях Арбитражного суда, рассмотрение дела откладывалось.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1 февраля 2019 года Арбитражным судом рассмотрено ходатайств</w:t>
      </w:r>
      <w:proofErr w:type="gramStart"/>
      <w:r>
        <w:rPr>
          <w:rStyle w:val="FontStyle14"/>
          <w:sz w:val="24"/>
          <w:szCs w:val="24"/>
        </w:rPr>
        <w:t>о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о вызове и допросе свидетелей по делу №820/18-12 </w:t>
      </w:r>
      <w:r w:rsidR="003150E2">
        <w:rPr>
          <w:rStyle w:val="FontStyle14"/>
          <w:sz w:val="24"/>
          <w:szCs w:val="24"/>
        </w:rPr>
        <w:t xml:space="preserve">и </w:t>
      </w:r>
      <w:r>
        <w:rPr>
          <w:rStyle w:val="FontStyle14"/>
          <w:sz w:val="24"/>
          <w:szCs w:val="24"/>
        </w:rPr>
        <w:t xml:space="preserve">в удовлетворении данного ходатайства отказано, о чем Арбитражным судом в порядке 3 статьи 128 АПК ПМР вынесено определение без оформления в виде отдельного процессуального документа. 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 в ходе судебного заседания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заявило устное ходатайство об отложении  рассмотрения дела для целей представления дополнительных доказательств. </w:t>
      </w:r>
    </w:p>
    <w:p w:rsidR="00E12387" w:rsidRDefault="00E12387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Арбитражный суд</w:t>
      </w:r>
      <w:r w:rsidR="003150E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рассмотрев ходатайство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об отложении судебного заседания в порядке статьи 1</w:t>
      </w:r>
      <w:r w:rsidR="003150E2">
        <w:rPr>
          <w:rStyle w:val="FontStyle14"/>
          <w:sz w:val="24"/>
          <w:szCs w:val="24"/>
        </w:rPr>
        <w:t>0</w:t>
      </w:r>
      <w:r>
        <w:rPr>
          <w:rStyle w:val="FontStyle14"/>
          <w:sz w:val="24"/>
          <w:szCs w:val="24"/>
        </w:rPr>
        <w:t>7 АПК ПМР с учетом мнения налоговой инспекции</w:t>
      </w:r>
      <w:r w:rsidR="003150E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возражавшей </w:t>
      </w:r>
      <w:proofErr w:type="gramStart"/>
      <w:r>
        <w:rPr>
          <w:rStyle w:val="FontStyle14"/>
          <w:sz w:val="24"/>
          <w:szCs w:val="24"/>
        </w:rPr>
        <w:t>против</w:t>
      </w:r>
      <w:proofErr w:type="gramEnd"/>
      <w:r>
        <w:rPr>
          <w:rStyle w:val="FontStyle14"/>
          <w:sz w:val="24"/>
          <w:szCs w:val="24"/>
        </w:rPr>
        <w:t xml:space="preserve"> </w:t>
      </w:r>
      <w:proofErr w:type="gramStart"/>
      <w:r>
        <w:rPr>
          <w:rStyle w:val="FontStyle14"/>
          <w:sz w:val="24"/>
          <w:szCs w:val="24"/>
        </w:rPr>
        <w:t>удовлетворении</w:t>
      </w:r>
      <w:proofErr w:type="gramEnd"/>
      <w:r>
        <w:rPr>
          <w:rStyle w:val="FontStyle14"/>
          <w:sz w:val="24"/>
          <w:szCs w:val="24"/>
        </w:rPr>
        <w:t xml:space="preserve"> данного ходатайства</w:t>
      </w:r>
      <w:r w:rsidR="003150E2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приходит к выводу об отсутствии оснований для удовлетворения ходатайства по следующим основаниям.</w:t>
      </w:r>
    </w:p>
    <w:p w:rsidR="00865BE2" w:rsidRDefault="00865BE2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Ходатайство аналогичного содержания было заявлен</w:t>
      </w:r>
      <w:proofErr w:type="gramStart"/>
      <w:r>
        <w:rPr>
          <w:rStyle w:val="FontStyle14"/>
          <w:sz w:val="24"/>
          <w:szCs w:val="24"/>
        </w:rPr>
        <w:t>о</w:t>
      </w:r>
      <w:r w:rsidR="00E12387">
        <w:rPr>
          <w:rStyle w:val="FontStyle14"/>
          <w:sz w:val="24"/>
          <w:szCs w:val="24"/>
        </w:rPr>
        <w:t xml:space="preserve"> ООО</w:t>
      </w:r>
      <w:proofErr w:type="gramEnd"/>
      <w:r w:rsidR="00E12387">
        <w:rPr>
          <w:rStyle w:val="FontStyle14"/>
          <w:sz w:val="24"/>
          <w:szCs w:val="24"/>
        </w:rPr>
        <w:t xml:space="preserve"> «</w:t>
      </w:r>
      <w:proofErr w:type="spellStart"/>
      <w:r w:rsidR="00E12387">
        <w:rPr>
          <w:rStyle w:val="FontStyle14"/>
          <w:sz w:val="24"/>
          <w:szCs w:val="24"/>
        </w:rPr>
        <w:t>Калиюга</w:t>
      </w:r>
      <w:proofErr w:type="spellEnd"/>
      <w:r w:rsidR="00E12387">
        <w:rPr>
          <w:rStyle w:val="FontStyle14"/>
          <w:sz w:val="24"/>
          <w:szCs w:val="24"/>
        </w:rPr>
        <w:t xml:space="preserve"> Плюс»</w:t>
      </w:r>
      <w:r>
        <w:rPr>
          <w:rStyle w:val="FontStyle14"/>
          <w:sz w:val="24"/>
          <w:szCs w:val="24"/>
        </w:rPr>
        <w:t xml:space="preserve"> в судебном заседании 24 января 2019 года, которое было </w:t>
      </w:r>
      <w:r w:rsidR="00E12387">
        <w:rPr>
          <w:rStyle w:val="FontStyle14"/>
          <w:sz w:val="24"/>
          <w:szCs w:val="24"/>
        </w:rPr>
        <w:t>удовлетворено,</w:t>
      </w:r>
      <w:r>
        <w:rPr>
          <w:rStyle w:val="FontStyle14"/>
          <w:sz w:val="24"/>
          <w:szCs w:val="24"/>
        </w:rPr>
        <w:t xml:space="preserve"> о чем свидетельствует определение  арбитражного суда от 24 января 2019 года  по делу № 820/18-12 об отложении судебного заседания. </w:t>
      </w:r>
    </w:p>
    <w:p w:rsidR="00E12387" w:rsidRDefault="00E12387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 по ходатайств</w:t>
      </w:r>
      <w:proofErr w:type="gramStart"/>
      <w:r>
        <w:rPr>
          <w:rStyle w:val="FontStyle14"/>
          <w:sz w:val="24"/>
          <w:szCs w:val="24"/>
        </w:rPr>
        <w:t>у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рассмотрение по делу откладывалось определением от 13 декабря 201</w:t>
      </w:r>
      <w:r w:rsidR="003150E2">
        <w:rPr>
          <w:rStyle w:val="FontStyle14"/>
          <w:sz w:val="24"/>
          <w:szCs w:val="24"/>
        </w:rPr>
        <w:t>8</w:t>
      </w:r>
      <w:r>
        <w:rPr>
          <w:rStyle w:val="FontStyle14"/>
          <w:sz w:val="24"/>
          <w:szCs w:val="24"/>
        </w:rPr>
        <w:t xml:space="preserve"> года.</w:t>
      </w:r>
    </w:p>
    <w:p w:rsidR="00865BE2" w:rsidRDefault="00E12387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судебном заседании</w:t>
      </w:r>
      <w:r w:rsidR="00865BE2">
        <w:rPr>
          <w:rStyle w:val="FontStyle14"/>
          <w:sz w:val="24"/>
          <w:szCs w:val="24"/>
        </w:rPr>
        <w:t xml:space="preserve"> 1 февраля 2019 год</w:t>
      </w:r>
      <w:proofErr w:type="gramStart"/>
      <w:r w:rsidR="00865BE2">
        <w:rPr>
          <w:rStyle w:val="FontStyle14"/>
          <w:sz w:val="24"/>
          <w:szCs w:val="24"/>
        </w:rPr>
        <w:t xml:space="preserve">а </w:t>
      </w:r>
      <w:r w:rsidR="002C319D">
        <w:rPr>
          <w:rStyle w:val="FontStyle14"/>
          <w:sz w:val="24"/>
          <w:szCs w:val="24"/>
        </w:rPr>
        <w:t>ООО</w:t>
      </w:r>
      <w:proofErr w:type="gramEnd"/>
      <w:r w:rsidR="002C319D">
        <w:rPr>
          <w:rStyle w:val="FontStyle14"/>
          <w:sz w:val="24"/>
          <w:szCs w:val="24"/>
        </w:rPr>
        <w:t xml:space="preserve"> «</w:t>
      </w:r>
      <w:proofErr w:type="spellStart"/>
      <w:r w:rsidR="002C319D">
        <w:rPr>
          <w:rStyle w:val="FontStyle14"/>
          <w:sz w:val="24"/>
          <w:szCs w:val="24"/>
        </w:rPr>
        <w:t>К</w:t>
      </w:r>
      <w:r w:rsidR="00865BE2">
        <w:rPr>
          <w:rStyle w:val="FontStyle14"/>
          <w:sz w:val="24"/>
          <w:szCs w:val="24"/>
        </w:rPr>
        <w:t>алиюга</w:t>
      </w:r>
      <w:proofErr w:type="spellEnd"/>
      <w:r w:rsidR="00865BE2">
        <w:rPr>
          <w:rStyle w:val="FontStyle14"/>
          <w:sz w:val="24"/>
          <w:szCs w:val="24"/>
        </w:rPr>
        <w:t xml:space="preserve"> Плюс»</w:t>
      </w:r>
      <w:r w:rsidR="002C319D">
        <w:rPr>
          <w:rStyle w:val="FontStyle14"/>
          <w:sz w:val="24"/>
          <w:szCs w:val="24"/>
        </w:rPr>
        <w:t xml:space="preserve"> каких-либо до</w:t>
      </w:r>
      <w:r w:rsidR="00865BE2">
        <w:rPr>
          <w:rStyle w:val="FontStyle14"/>
          <w:sz w:val="24"/>
          <w:szCs w:val="24"/>
        </w:rPr>
        <w:t xml:space="preserve">полнительных </w:t>
      </w:r>
      <w:r w:rsidR="002C319D">
        <w:rPr>
          <w:rStyle w:val="FontStyle14"/>
          <w:sz w:val="24"/>
          <w:szCs w:val="24"/>
        </w:rPr>
        <w:t>доказательств</w:t>
      </w:r>
      <w:r w:rsidR="00865BE2">
        <w:rPr>
          <w:rStyle w:val="FontStyle14"/>
          <w:sz w:val="24"/>
          <w:szCs w:val="24"/>
        </w:rPr>
        <w:t xml:space="preserve"> не </w:t>
      </w:r>
      <w:r w:rsidR="002C319D">
        <w:rPr>
          <w:rStyle w:val="FontStyle14"/>
          <w:sz w:val="24"/>
          <w:szCs w:val="24"/>
        </w:rPr>
        <w:t>представ</w:t>
      </w:r>
      <w:r>
        <w:rPr>
          <w:rStyle w:val="FontStyle14"/>
          <w:sz w:val="24"/>
          <w:szCs w:val="24"/>
        </w:rPr>
        <w:t>лено</w:t>
      </w:r>
      <w:r w:rsidR="002C319D">
        <w:rPr>
          <w:rStyle w:val="FontStyle14"/>
          <w:sz w:val="24"/>
          <w:szCs w:val="24"/>
        </w:rPr>
        <w:t xml:space="preserve"> и не </w:t>
      </w:r>
      <w:r w:rsidR="00364E9F">
        <w:rPr>
          <w:rStyle w:val="FontStyle14"/>
          <w:sz w:val="24"/>
          <w:szCs w:val="24"/>
        </w:rPr>
        <w:t xml:space="preserve">заявлено ходатайств </w:t>
      </w:r>
      <w:r w:rsidR="00865BE2">
        <w:rPr>
          <w:rStyle w:val="FontStyle14"/>
          <w:sz w:val="24"/>
          <w:szCs w:val="24"/>
        </w:rPr>
        <w:t>о приобщении таковы</w:t>
      </w:r>
      <w:r>
        <w:rPr>
          <w:rStyle w:val="FontStyle14"/>
          <w:sz w:val="24"/>
          <w:szCs w:val="24"/>
        </w:rPr>
        <w:t>х</w:t>
      </w:r>
      <w:r w:rsidR="00865BE2">
        <w:rPr>
          <w:rStyle w:val="FontStyle14"/>
          <w:sz w:val="24"/>
          <w:szCs w:val="24"/>
        </w:rPr>
        <w:t xml:space="preserve"> к </w:t>
      </w:r>
      <w:r w:rsidR="002C319D">
        <w:rPr>
          <w:rStyle w:val="FontStyle14"/>
          <w:sz w:val="24"/>
          <w:szCs w:val="24"/>
        </w:rPr>
        <w:t>материалам</w:t>
      </w:r>
      <w:r w:rsidR="00865BE2">
        <w:rPr>
          <w:rStyle w:val="FontStyle14"/>
          <w:sz w:val="24"/>
          <w:szCs w:val="24"/>
        </w:rPr>
        <w:t xml:space="preserve"> дела. </w:t>
      </w:r>
    </w:p>
    <w:p w:rsidR="00E12387" w:rsidRDefault="00E12387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положениями пункта 2 статьи 25 АПК ПМР лица</w:t>
      </w:r>
      <w:r w:rsidR="00364E9F">
        <w:rPr>
          <w:rStyle w:val="FontStyle14"/>
          <w:sz w:val="24"/>
          <w:szCs w:val="24"/>
        </w:rPr>
        <w:t xml:space="preserve">, участвующие в деле, </w:t>
      </w:r>
      <w:r>
        <w:rPr>
          <w:rStyle w:val="FontStyle14"/>
          <w:sz w:val="24"/>
          <w:szCs w:val="24"/>
        </w:rPr>
        <w:t xml:space="preserve"> должны добросовестно пользоваться  всеми принадлежащими им процессуальными правами. </w:t>
      </w:r>
    </w:p>
    <w:p w:rsidR="002C319D" w:rsidRDefault="00E12387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силу приведенной нормы права, а также с учетом положений  пункта 4 статьи 130-12 АПК ПМР, возлагающей обязанность доказывания законности оспариваем</w:t>
      </w:r>
      <w:r w:rsidR="00364E9F">
        <w:rPr>
          <w:rStyle w:val="FontStyle14"/>
          <w:sz w:val="24"/>
          <w:szCs w:val="24"/>
        </w:rPr>
        <w:t>ого ненормативного правого акта</w:t>
      </w:r>
      <w:r>
        <w:rPr>
          <w:rStyle w:val="FontStyle14"/>
          <w:sz w:val="24"/>
          <w:szCs w:val="24"/>
        </w:rPr>
        <w:t xml:space="preserve"> на </w:t>
      </w:r>
      <w:proofErr w:type="gramStart"/>
      <w:r>
        <w:rPr>
          <w:rStyle w:val="FontStyle14"/>
          <w:sz w:val="24"/>
          <w:szCs w:val="24"/>
        </w:rPr>
        <w:t>орган</w:t>
      </w:r>
      <w:proofErr w:type="gramEnd"/>
      <w:r>
        <w:rPr>
          <w:rStyle w:val="FontStyle14"/>
          <w:sz w:val="24"/>
          <w:szCs w:val="24"/>
        </w:rPr>
        <w:t xml:space="preserve"> принявш</w:t>
      </w:r>
      <w:r w:rsidR="00364E9F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 xml:space="preserve">й такой акт </w:t>
      </w:r>
      <w:r w:rsidR="00CA4ED5">
        <w:rPr>
          <w:rStyle w:val="FontStyle14"/>
          <w:sz w:val="24"/>
          <w:szCs w:val="24"/>
        </w:rPr>
        <w:t>ходатайство</w:t>
      </w:r>
      <w:r w:rsidR="00364E9F">
        <w:rPr>
          <w:rStyle w:val="FontStyle14"/>
          <w:sz w:val="24"/>
          <w:szCs w:val="24"/>
        </w:rPr>
        <w:t>,</w:t>
      </w:r>
      <w:r w:rsidR="00CA4ED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</w:t>
      </w:r>
      <w:r w:rsidR="00CA4ED5">
        <w:rPr>
          <w:rStyle w:val="FontStyle14"/>
          <w:sz w:val="24"/>
          <w:szCs w:val="24"/>
        </w:rPr>
        <w:t xml:space="preserve">об отложении </w:t>
      </w:r>
      <w:r>
        <w:rPr>
          <w:rStyle w:val="FontStyle14"/>
          <w:sz w:val="24"/>
          <w:szCs w:val="24"/>
        </w:rPr>
        <w:t>судебного</w:t>
      </w:r>
      <w:r w:rsidR="00CA4ED5">
        <w:rPr>
          <w:rStyle w:val="FontStyle14"/>
          <w:sz w:val="24"/>
          <w:szCs w:val="24"/>
        </w:rPr>
        <w:t xml:space="preserve"> заседания</w:t>
      </w:r>
      <w:r>
        <w:rPr>
          <w:rStyle w:val="FontStyle14"/>
          <w:sz w:val="24"/>
          <w:szCs w:val="24"/>
        </w:rPr>
        <w:t xml:space="preserve"> для целей представления дополнительных доказательств </w:t>
      </w:r>
      <w:r w:rsidR="00CA4ED5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удовлетворению</w:t>
      </w:r>
      <w:r w:rsidR="00CA4ED5">
        <w:rPr>
          <w:rStyle w:val="FontStyle14"/>
          <w:sz w:val="24"/>
          <w:szCs w:val="24"/>
        </w:rPr>
        <w:t xml:space="preserve"> не подлежит. </w:t>
      </w:r>
    </w:p>
    <w:p w:rsidR="00BF4390" w:rsidRDefault="00E12387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в ходе судебного заседания заявлен отвод судье, рассматривающему дело № 820/18-12. </w:t>
      </w:r>
      <w:r w:rsidR="00BF4390">
        <w:rPr>
          <w:rStyle w:val="FontStyle14"/>
          <w:sz w:val="24"/>
          <w:szCs w:val="24"/>
        </w:rPr>
        <w:t xml:space="preserve">В силу пункта 2 статьи 19 АПК ПМР  вопрос об отводе судьи, рассматривающему дело единолично, разрешается Председателем Арбитражного суда или его заместителем. Ввиду данного обстоятельства рассмотрение дела №820/18-12 в настоящем судебном заседании не представляется возможным, что является основанием для отложения судебного заседания в силу пункта 1 статьи 109 АПК ПМР. </w:t>
      </w:r>
    </w:p>
    <w:p w:rsidR="00BF4390" w:rsidRDefault="00BF4390" w:rsidP="00BF4390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sz w:val="24"/>
          <w:szCs w:val="24"/>
        </w:rPr>
        <w:t>На основании изложенного, руководствуясь стать</w:t>
      </w:r>
      <w:r w:rsidR="00364E9F">
        <w:rPr>
          <w:rStyle w:val="FontStyle14"/>
          <w:sz w:val="24"/>
          <w:szCs w:val="24"/>
        </w:rPr>
        <w:t>ями</w:t>
      </w:r>
      <w:r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</w:t>
      </w:r>
      <w:r w:rsidR="00364E9F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Арбитражный суд</w:t>
      </w:r>
      <w:r w:rsidRPr="00BF4390">
        <w:rPr>
          <w:rStyle w:val="FontStyle14"/>
          <w:b/>
          <w:sz w:val="24"/>
          <w:szCs w:val="24"/>
        </w:rPr>
        <w:t xml:space="preserve"> </w:t>
      </w:r>
    </w:p>
    <w:p w:rsidR="00BF4390" w:rsidRDefault="00BF4390" w:rsidP="00BF4390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</w:p>
    <w:p w:rsidR="00BF4390" w:rsidRDefault="00BF4390" w:rsidP="00BF4390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О </w:t>
      </w:r>
      <w:proofErr w:type="gramStart"/>
      <w:r w:rsidRPr="00750E5F">
        <w:rPr>
          <w:rStyle w:val="FontStyle14"/>
          <w:b/>
          <w:sz w:val="24"/>
          <w:szCs w:val="24"/>
        </w:rPr>
        <w:t>П</w:t>
      </w:r>
      <w:proofErr w:type="gramEnd"/>
      <w:r w:rsidRPr="00750E5F">
        <w:rPr>
          <w:rStyle w:val="FontStyle14"/>
          <w:b/>
          <w:sz w:val="24"/>
          <w:szCs w:val="24"/>
        </w:rPr>
        <w:t xml:space="preserve"> Р Е Д Е Л И Л:</w:t>
      </w:r>
    </w:p>
    <w:p w:rsidR="002C0263" w:rsidRDefault="002C0263" w:rsidP="002C0263">
      <w:pPr>
        <w:tabs>
          <w:tab w:val="left" w:pos="9354"/>
        </w:tabs>
        <w:spacing w:after="0" w:line="240" w:lineRule="auto"/>
        <w:ind w:left="708" w:right="-98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ab/>
        <w:t>1.</w:t>
      </w:r>
      <w:r w:rsidR="00BF4390" w:rsidRPr="00750E5F">
        <w:rPr>
          <w:rStyle w:val="FontStyle14"/>
          <w:sz w:val="24"/>
          <w:szCs w:val="24"/>
        </w:rPr>
        <w:t>Судебное заседание по делу №820/18-12 отложить</w:t>
      </w:r>
      <w:r>
        <w:rPr>
          <w:rStyle w:val="FontStyle14"/>
          <w:sz w:val="24"/>
          <w:szCs w:val="24"/>
        </w:rPr>
        <w:t>.</w:t>
      </w:r>
    </w:p>
    <w:p w:rsidR="00BF4390" w:rsidRDefault="002C0263" w:rsidP="002C0263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О времени и месте </w:t>
      </w:r>
      <w:r w:rsidR="00364E9F">
        <w:rPr>
          <w:rStyle w:val="FontStyle14"/>
          <w:sz w:val="24"/>
          <w:szCs w:val="24"/>
        </w:rPr>
        <w:t xml:space="preserve">следующего </w:t>
      </w:r>
      <w:r>
        <w:rPr>
          <w:rStyle w:val="FontStyle14"/>
          <w:sz w:val="24"/>
          <w:szCs w:val="24"/>
        </w:rPr>
        <w:t xml:space="preserve">судебного заседания лица, участвующие в деле, будут извещены дополнительно.  </w:t>
      </w:r>
    </w:p>
    <w:p w:rsidR="00BF4390" w:rsidRDefault="00BF4390" w:rsidP="00BF4390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2C0263" w:rsidRDefault="002C0263" w:rsidP="00BF4390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BF4390" w:rsidRPr="00750E5F" w:rsidRDefault="00BF4390" w:rsidP="00BF4390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Определение не обжалуется.</w:t>
      </w:r>
    </w:p>
    <w:p w:rsidR="00BF4390" w:rsidRDefault="00BF4390" w:rsidP="00BF4390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2C0263" w:rsidRDefault="002C0263" w:rsidP="00BF4390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BF4390" w:rsidRPr="00750E5F" w:rsidRDefault="00BF4390" w:rsidP="00BF4390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F4390" w:rsidRPr="00750E5F" w:rsidRDefault="00BF4390" w:rsidP="00BF4390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50E5F">
        <w:rPr>
          <w:rStyle w:val="FontStyle14"/>
          <w:b/>
          <w:sz w:val="24"/>
          <w:szCs w:val="24"/>
        </w:rPr>
        <w:t>Григорашенко</w:t>
      </w:r>
      <w:proofErr w:type="spellEnd"/>
      <w:r w:rsidRPr="00750E5F">
        <w:rPr>
          <w:rStyle w:val="FontStyle14"/>
          <w:b/>
          <w:sz w:val="24"/>
          <w:szCs w:val="24"/>
        </w:rPr>
        <w:t xml:space="preserve"> </w:t>
      </w:r>
    </w:p>
    <w:p w:rsidR="00BF4390" w:rsidRPr="00750E5F" w:rsidRDefault="00BF4390" w:rsidP="00BF4390">
      <w:pPr>
        <w:pStyle w:val="Style4"/>
        <w:widowControl/>
        <w:spacing w:line="240" w:lineRule="auto"/>
        <w:ind w:right="-690" w:firstLine="709"/>
      </w:pPr>
    </w:p>
    <w:p w:rsidR="00E12387" w:rsidRDefault="00BF4390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</w:t>
      </w:r>
    </w:p>
    <w:p w:rsidR="00E12387" w:rsidRDefault="00E12387" w:rsidP="00E12387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E12387" w:rsidRDefault="00E12387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CA4ED5" w:rsidRDefault="00CA4ED5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2C319D" w:rsidRDefault="002C319D" w:rsidP="00865BE2">
      <w:pPr>
        <w:pStyle w:val="HTML"/>
        <w:ind w:firstLine="709"/>
        <w:jc w:val="both"/>
        <w:rPr>
          <w:rStyle w:val="FontStyle14"/>
          <w:sz w:val="24"/>
          <w:szCs w:val="24"/>
        </w:rPr>
      </w:pPr>
    </w:p>
    <w:p w:rsidR="002C319D" w:rsidRDefault="002C319D"/>
    <w:sectPr w:rsidR="002C319D" w:rsidSect="005F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5BE2"/>
    <w:rsid w:val="002C0263"/>
    <w:rsid w:val="002C319D"/>
    <w:rsid w:val="003150E2"/>
    <w:rsid w:val="00364E9F"/>
    <w:rsid w:val="005F2C9F"/>
    <w:rsid w:val="00865BE2"/>
    <w:rsid w:val="00BF4390"/>
    <w:rsid w:val="00CA4ED5"/>
    <w:rsid w:val="00E1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65BE2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865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5BE2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F4390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0D68-6A92-4EEB-B1BB-F980017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dcterms:created xsi:type="dcterms:W3CDTF">2019-02-04T07:45:00Z</dcterms:created>
  <dcterms:modified xsi:type="dcterms:W3CDTF">2019-02-04T12:52:00Z</dcterms:modified>
</cp:coreProperties>
</file>