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49" w:rsidRDefault="00155B49" w:rsidP="00155B49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-31750</wp:posOffset>
            </wp:positionV>
            <wp:extent cx="961390" cy="1002665"/>
            <wp:effectExtent l="19050" t="0" r="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155B49" w:rsidRPr="005C3682" w:rsidTr="00F33ABC">
        <w:trPr>
          <w:trHeight w:val="259"/>
        </w:trPr>
        <w:tc>
          <w:tcPr>
            <w:tcW w:w="4253" w:type="dxa"/>
          </w:tcPr>
          <w:p w:rsidR="00155B49" w:rsidRPr="005C3682" w:rsidRDefault="00155B49" w:rsidP="00F33A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155B49" w:rsidRPr="005C3682" w:rsidTr="00F33ABC">
        <w:tc>
          <w:tcPr>
            <w:tcW w:w="4253" w:type="dxa"/>
          </w:tcPr>
          <w:p w:rsidR="00155B49" w:rsidRPr="005C3682" w:rsidRDefault="00155B49" w:rsidP="00F33A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55B49" w:rsidRPr="00155B49" w:rsidTr="00F33ABC">
        <w:tc>
          <w:tcPr>
            <w:tcW w:w="4253" w:type="dxa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5B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155B49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155B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155B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155B49" w:rsidRPr="00155B49" w:rsidRDefault="00155B49" w:rsidP="00155B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55B49" w:rsidRPr="00155B49" w:rsidTr="00F33ABC">
        <w:trPr>
          <w:trHeight w:val="342"/>
        </w:trPr>
        <w:tc>
          <w:tcPr>
            <w:tcW w:w="3888" w:type="dxa"/>
            <w:shd w:val="clear" w:color="auto" w:fill="auto"/>
          </w:tcPr>
          <w:p w:rsidR="00155B49" w:rsidRPr="00155B49" w:rsidRDefault="00155B49" w:rsidP="00155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5B49" w:rsidRPr="00155B49" w:rsidRDefault="00155B49" w:rsidP="0015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55B49" w:rsidRPr="00155B49" w:rsidRDefault="00155B49" w:rsidP="00155B49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</w:t>
      </w:r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55B49" w:rsidRPr="00155B49" w:rsidRDefault="00155B49" w:rsidP="0015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55B49" w:rsidRPr="00155B49" w:rsidRDefault="00155B49" w:rsidP="0015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55B49" w:rsidRPr="00155B49" w:rsidRDefault="00155B49" w:rsidP="0015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55B49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155B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55B49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55B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55B49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155B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5B49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55B49" w:rsidRPr="00155B49" w:rsidRDefault="00064AA7" w:rsidP="0015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AA7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64AA7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55B49" w:rsidRPr="00155B49" w:rsidRDefault="00155B49" w:rsidP="0015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55B49" w:rsidRPr="00155B49" w:rsidRDefault="00155B49" w:rsidP="0015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55B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155B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5B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155B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5B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155B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5B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155B49" w:rsidRPr="00155B49" w:rsidRDefault="00155B49" w:rsidP="0015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55B49" w:rsidRPr="00155B49" w:rsidTr="00F33ABC">
        <w:trPr>
          <w:trHeight w:val="259"/>
        </w:trPr>
        <w:tc>
          <w:tcPr>
            <w:tcW w:w="4952" w:type="dxa"/>
            <w:gridSpan w:val="7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55B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155B4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155B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155B4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декабря </w:t>
            </w:r>
            <w:r w:rsidRPr="00155B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55B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155B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155B4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155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155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82</w:t>
            </w:r>
            <w:r w:rsidRPr="00155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155B49" w:rsidRPr="00155B49" w:rsidTr="00F33ABC">
        <w:tc>
          <w:tcPr>
            <w:tcW w:w="1199" w:type="dxa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55B49" w:rsidRPr="00155B49" w:rsidRDefault="00155B49" w:rsidP="00155B4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B49" w:rsidRPr="00155B49" w:rsidTr="00F33ABC">
        <w:tc>
          <w:tcPr>
            <w:tcW w:w="1985" w:type="dxa"/>
            <w:gridSpan w:val="2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5B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55B49" w:rsidRPr="00155B49" w:rsidRDefault="00155B49" w:rsidP="0015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B49" w:rsidRPr="00155B49" w:rsidTr="00F33ABC">
        <w:trPr>
          <w:trHeight w:val="80"/>
        </w:trPr>
        <w:tc>
          <w:tcPr>
            <w:tcW w:w="1199" w:type="dxa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55B49" w:rsidRPr="00155B49" w:rsidRDefault="00155B49" w:rsidP="0015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B49" w:rsidRPr="00155B49" w:rsidTr="00F33ABC">
        <w:trPr>
          <w:trHeight w:val="80"/>
        </w:trPr>
        <w:tc>
          <w:tcPr>
            <w:tcW w:w="1199" w:type="dxa"/>
          </w:tcPr>
          <w:p w:rsidR="00155B49" w:rsidRPr="00155B49" w:rsidRDefault="00155B49" w:rsidP="00155B4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55B49" w:rsidRPr="00155B49" w:rsidRDefault="00155B49" w:rsidP="00155B4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55B49" w:rsidRPr="00155B49" w:rsidRDefault="00155B49" w:rsidP="00155B4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55B49" w:rsidRPr="00155B49" w:rsidRDefault="00155B49" w:rsidP="00155B4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55B49" w:rsidRPr="00155B49" w:rsidRDefault="00155B49" w:rsidP="00155B4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5B49" w:rsidRPr="00155B49" w:rsidRDefault="00155B49" w:rsidP="00155B49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Style w:val="FontStyle14"/>
          <w:sz w:val="24"/>
          <w:szCs w:val="24"/>
        </w:rPr>
      </w:pPr>
      <w:proofErr w:type="gramStart"/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155B49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 И. П., продолжив в открытом судебном заседании рассмотрение искового заявления </w:t>
      </w:r>
      <w:r w:rsidRPr="00155B49">
        <w:rPr>
          <w:rStyle w:val="FontStyle14"/>
          <w:sz w:val="24"/>
          <w:szCs w:val="24"/>
        </w:rPr>
        <w:t xml:space="preserve">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             (г. Рыбница, ул. Ленина, д. 1) к крестьянскому фермерскому хозяйству </w:t>
      </w:r>
      <w:proofErr w:type="spellStart"/>
      <w:r w:rsidRPr="00155B49">
        <w:rPr>
          <w:rStyle w:val="FontStyle14"/>
          <w:sz w:val="24"/>
          <w:szCs w:val="24"/>
        </w:rPr>
        <w:t>Садома</w:t>
      </w:r>
      <w:proofErr w:type="spellEnd"/>
      <w:r w:rsidRPr="00155B49">
        <w:rPr>
          <w:rStyle w:val="FontStyle14"/>
          <w:sz w:val="24"/>
          <w:szCs w:val="24"/>
        </w:rPr>
        <w:t xml:space="preserve"> Г. С.                  (г. Рыбница, ул. Пугачева, д. 2) о взыскании задолженности в отсутствие представителей сторон, извещенных надлежащим образом</w:t>
      </w:r>
      <w:proofErr w:type="gramEnd"/>
      <w:r w:rsidRPr="00155B49">
        <w:rPr>
          <w:rStyle w:val="FontStyle14"/>
          <w:sz w:val="24"/>
          <w:szCs w:val="24"/>
        </w:rPr>
        <w:t xml:space="preserve"> о времени и месте судебного заседания,</w:t>
      </w:r>
    </w:p>
    <w:p w:rsidR="00155B49" w:rsidRPr="00155B49" w:rsidRDefault="00155B49" w:rsidP="00155B49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B49" w:rsidRPr="00155B49" w:rsidRDefault="00155B49" w:rsidP="00155B49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155B49" w:rsidRPr="00155B49" w:rsidRDefault="00155B49" w:rsidP="00155B49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B49" w:rsidRPr="00155B49" w:rsidRDefault="00155B49" w:rsidP="00155B49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4 сентября 2018 года к производству суда принято исковое заявление </w:t>
      </w:r>
      <w:r w:rsidRPr="00155B49">
        <w:rPr>
          <w:rStyle w:val="FontStyle14"/>
          <w:sz w:val="24"/>
          <w:szCs w:val="24"/>
        </w:rPr>
        <w:t xml:space="preserve">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 (далее – РНП «Партнерство фермеров Приднестровья», истец) к крестьянскому фермерскому хозяйству </w:t>
      </w:r>
      <w:proofErr w:type="spellStart"/>
      <w:r w:rsidRPr="00155B49">
        <w:rPr>
          <w:rStyle w:val="FontStyle14"/>
          <w:sz w:val="24"/>
          <w:szCs w:val="24"/>
        </w:rPr>
        <w:t>Садома</w:t>
      </w:r>
      <w:proofErr w:type="spellEnd"/>
      <w:r w:rsidRPr="00155B49">
        <w:rPr>
          <w:rStyle w:val="FontStyle14"/>
          <w:sz w:val="24"/>
          <w:szCs w:val="24"/>
        </w:rPr>
        <w:t xml:space="preserve"> Г. С. (далее – КФХ </w:t>
      </w:r>
      <w:proofErr w:type="spellStart"/>
      <w:r w:rsidRPr="00155B49">
        <w:rPr>
          <w:rStyle w:val="FontStyle14"/>
          <w:sz w:val="24"/>
          <w:szCs w:val="24"/>
        </w:rPr>
        <w:t>Садома</w:t>
      </w:r>
      <w:proofErr w:type="spellEnd"/>
      <w:r w:rsidRPr="00155B49">
        <w:rPr>
          <w:rStyle w:val="FontStyle14"/>
          <w:sz w:val="24"/>
          <w:szCs w:val="24"/>
        </w:rPr>
        <w:t xml:space="preserve"> Г. С., ответчик) о взыскании задолженности</w:t>
      </w:r>
      <w:r w:rsidRPr="00155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B49" w:rsidRPr="00155B49" w:rsidRDefault="00155B49" w:rsidP="00155B49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откладывалось по основаниям, указанным в мотивированных определениях Арбитражного суда. </w:t>
      </w:r>
    </w:p>
    <w:p w:rsidR="00155B49" w:rsidRPr="00155B49" w:rsidRDefault="00155B49" w:rsidP="00155B49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17 октября 2018 года производство по делу приостанавливалось ввиду намерения сторон заключить мировое соглашение и представить его на утверждение Арбитражного суда. По </w:t>
      </w:r>
      <w:proofErr w:type="gramStart"/>
      <w:r w:rsidR="001536DE">
        <w:rPr>
          <w:rFonts w:ascii="Times New Roman" w:eastAsia="Times New Roman" w:hAnsi="Times New Roman" w:cs="Times New Roman"/>
          <w:sz w:val="24"/>
          <w:szCs w:val="24"/>
        </w:rPr>
        <w:t>миновании</w:t>
      </w:r>
      <w:proofErr w:type="gramEnd"/>
      <w:r w:rsidR="001536DE">
        <w:rPr>
          <w:rFonts w:ascii="Times New Roman" w:eastAsia="Times New Roman" w:hAnsi="Times New Roman" w:cs="Times New Roman"/>
          <w:sz w:val="24"/>
          <w:szCs w:val="24"/>
        </w:rPr>
        <w:t xml:space="preserve"> срока приостановления</w:t>
      </w: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по делу возобновлено, судебное заседание назначено на 5 декабря 2018 года. </w:t>
      </w:r>
    </w:p>
    <w:p w:rsidR="00155B49" w:rsidRPr="00155B49" w:rsidRDefault="00155B49" w:rsidP="00155B49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 декабря  2018 года, проверяя явку лиц, участвующих в деле, Арбитражный суд установил отсутствие представителя истца, а также отсутствие ответчика. </w:t>
      </w:r>
    </w:p>
    <w:p w:rsidR="001536DE" w:rsidRDefault="00155B49" w:rsidP="001536DE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>Вместе с тем до судебного заседания посредством факсимильной связи поступило ходатайств</w:t>
      </w:r>
      <w:r w:rsidR="001536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 истца об отложении судебного разбирательства ввиду того, что  на 14 декабря 2018 года назначено собрание кредиторов РНП «Партнерство фермеров Приднестровья»</w:t>
      </w:r>
      <w:r w:rsidR="001536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 на котором будет рассматриваться предложение </w:t>
      </w:r>
      <w:proofErr w:type="spellStart"/>
      <w:r w:rsidRPr="00155B49">
        <w:rPr>
          <w:rFonts w:ascii="Times New Roman" w:eastAsia="Times New Roman" w:hAnsi="Times New Roman" w:cs="Times New Roman"/>
          <w:sz w:val="24"/>
          <w:szCs w:val="24"/>
        </w:rPr>
        <w:t>Садома</w:t>
      </w:r>
      <w:proofErr w:type="spellEnd"/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 Г.С. о порядке погашения задолженности  </w:t>
      </w:r>
      <w:r w:rsidR="001536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еред истцом. </w:t>
      </w:r>
    </w:p>
    <w:p w:rsidR="001536DE" w:rsidRDefault="00155B49" w:rsidP="001536DE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>Разрешая данное ходатайство, Арбитр</w:t>
      </w:r>
      <w:r w:rsidR="001536DE">
        <w:rPr>
          <w:rFonts w:ascii="Times New Roman" w:hAnsi="Times New Roman" w:cs="Times New Roman"/>
          <w:sz w:val="24"/>
          <w:szCs w:val="24"/>
        </w:rPr>
        <w:t>ажный суд исходил из следующего.</w:t>
      </w:r>
    </w:p>
    <w:p w:rsidR="00155B49" w:rsidRPr="001536DE" w:rsidRDefault="00155B49" w:rsidP="001536DE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155B49" w:rsidRPr="00155B49" w:rsidRDefault="00155B49" w:rsidP="00155B49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>В соответствии со статьей 29 АПК ПМР стороны  могут окончить дело мировым соглашением, а в соответствии с пунктом 1 статьи 110 АПК ПМР мировое соглашение может быть заключено на любой стадии арбитражного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6DE">
        <w:rPr>
          <w:rFonts w:ascii="Times New Roman" w:hAnsi="Times New Roman" w:cs="Times New Roman"/>
          <w:sz w:val="24"/>
          <w:szCs w:val="24"/>
        </w:rPr>
        <w:t>Ранее в</w:t>
      </w:r>
      <w:r w:rsidRPr="00155B49">
        <w:rPr>
          <w:rFonts w:ascii="Times New Roman" w:hAnsi="Times New Roman" w:cs="Times New Roman"/>
          <w:sz w:val="24"/>
          <w:szCs w:val="24"/>
        </w:rPr>
        <w:t xml:space="preserve"> судебном </w:t>
      </w:r>
      <w:r w:rsidRPr="00155B49">
        <w:rPr>
          <w:rFonts w:ascii="Times New Roman" w:hAnsi="Times New Roman" w:cs="Times New Roman"/>
          <w:sz w:val="24"/>
          <w:szCs w:val="24"/>
        </w:rPr>
        <w:lastRenderedPageBreak/>
        <w:t>заседании 17 октября 2018 года сторон</w:t>
      </w:r>
      <w:r w:rsidR="00775CDB">
        <w:rPr>
          <w:rFonts w:ascii="Times New Roman" w:hAnsi="Times New Roman" w:cs="Times New Roman"/>
          <w:sz w:val="24"/>
          <w:szCs w:val="24"/>
        </w:rPr>
        <w:t>ы</w:t>
      </w:r>
      <w:r w:rsidRPr="00155B49">
        <w:rPr>
          <w:rFonts w:ascii="Times New Roman" w:hAnsi="Times New Roman" w:cs="Times New Roman"/>
          <w:sz w:val="24"/>
          <w:szCs w:val="24"/>
        </w:rPr>
        <w:t xml:space="preserve"> заявляли о намерении заключить мировое соглашение по делу.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B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55B4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55B49">
        <w:rPr>
          <w:rFonts w:ascii="Times New Roman" w:hAnsi="Times New Roman" w:cs="Times New Roman"/>
          <w:sz w:val="24"/>
          <w:szCs w:val="24"/>
        </w:rPr>
        <w:t xml:space="preserve"> с чем для целей реализации распорядительного права, предоставленного сторонам АПК ПМР,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5B49">
        <w:rPr>
          <w:rFonts w:ascii="Times New Roman" w:hAnsi="Times New Roman" w:cs="Times New Roman"/>
          <w:sz w:val="24"/>
          <w:szCs w:val="24"/>
        </w:rPr>
        <w:t xml:space="preserve">рбитражный суд полагает возможным удовлетворить </w:t>
      </w:r>
      <w:r w:rsidR="001536DE">
        <w:rPr>
          <w:rFonts w:ascii="Times New Roman" w:hAnsi="Times New Roman" w:cs="Times New Roman"/>
          <w:sz w:val="24"/>
          <w:szCs w:val="24"/>
        </w:rPr>
        <w:t xml:space="preserve"> также данное </w:t>
      </w:r>
      <w:r w:rsidRPr="00155B49">
        <w:rPr>
          <w:rFonts w:ascii="Times New Roman" w:hAnsi="Times New Roman" w:cs="Times New Roman"/>
          <w:sz w:val="24"/>
          <w:szCs w:val="24"/>
        </w:rPr>
        <w:t xml:space="preserve">ходатайство истца.  </w:t>
      </w:r>
    </w:p>
    <w:p w:rsidR="00155B49" w:rsidRPr="00155B49" w:rsidRDefault="00155B49" w:rsidP="00155B49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B49" w:rsidRPr="00155B49" w:rsidRDefault="00155B49" w:rsidP="00155B49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155B49" w:rsidRPr="00155B49" w:rsidRDefault="00155B49" w:rsidP="00155B49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B49" w:rsidRPr="00155B49" w:rsidRDefault="00155B49" w:rsidP="00155B49">
      <w:pPr>
        <w:tabs>
          <w:tab w:val="left" w:pos="9354"/>
        </w:tabs>
        <w:spacing w:after="0" w:line="240" w:lineRule="auto"/>
        <w:ind w:left="-426"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55B49" w:rsidRPr="00155B49" w:rsidRDefault="00155B49" w:rsidP="00155B49">
      <w:pPr>
        <w:tabs>
          <w:tab w:val="left" w:pos="9354"/>
        </w:tabs>
        <w:spacing w:after="0" w:line="240" w:lineRule="auto"/>
        <w:ind w:left="-426"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49" w:rsidRPr="00155B49" w:rsidRDefault="00155B49" w:rsidP="00155B49">
      <w:pPr>
        <w:pStyle w:val="a3"/>
        <w:numPr>
          <w:ilvl w:val="0"/>
          <w:numId w:val="1"/>
        </w:numPr>
        <w:spacing w:after="0" w:line="240" w:lineRule="auto"/>
        <w:ind w:left="1134" w:right="-1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>Ходатайство истца удовлетворить.</w:t>
      </w:r>
    </w:p>
    <w:p w:rsidR="00155B49" w:rsidRPr="00155B49" w:rsidRDefault="00155B49" w:rsidP="00155B49">
      <w:pPr>
        <w:pStyle w:val="a3"/>
        <w:numPr>
          <w:ilvl w:val="0"/>
          <w:numId w:val="1"/>
        </w:numPr>
        <w:spacing w:after="0" w:line="240" w:lineRule="auto"/>
        <w:ind w:left="142" w:right="-14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582</w:t>
      </w: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/18-12 отложить на </w:t>
      </w:r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2018 года на 11.00</w:t>
      </w: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 </w:t>
      </w:r>
      <w:r w:rsidR="001536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5B4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155B4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55B49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155B49" w:rsidRPr="00155B49" w:rsidRDefault="00155B49" w:rsidP="00155B4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B49" w:rsidRPr="00155B49" w:rsidRDefault="00155B49" w:rsidP="00155B49">
      <w:pPr>
        <w:spacing w:after="0" w:line="240" w:lineRule="auto"/>
        <w:ind w:left="-426" w:right="-5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не обжалуется.</w:t>
      </w:r>
    </w:p>
    <w:p w:rsidR="00155B49" w:rsidRPr="00155B49" w:rsidRDefault="00155B49" w:rsidP="00155B49">
      <w:pPr>
        <w:spacing w:after="0" w:line="240" w:lineRule="auto"/>
        <w:ind w:left="-426"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B49" w:rsidRPr="00155B49" w:rsidRDefault="00155B49" w:rsidP="00155B49">
      <w:pPr>
        <w:spacing w:after="0" w:line="240" w:lineRule="auto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49" w:rsidRPr="00155B49" w:rsidRDefault="00155B49" w:rsidP="00155B49">
      <w:pPr>
        <w:spacing w:after="0" w:line="240" w:lineRule="auto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5B49" w:rsidRPr="00155B49" w:rsidRDefault="00155B49" w:rsidP="00155B49">
      <w:pPr>
        <w:spacing w:after="0" w:line="240" w:lineRule="auto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55B49" w:rsidRPr="00155B49" w:rsidRDefault="00155B49" w:rsidP="00155B49">
      <w:pPr>
        <w:spacing w:after="0" w:line="240" w:lineRule="auto"/>
        <w:ind w:right="-56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И. П. </w:t>
      </w:r>
      <w:proofErr w:type="spellStart"/>
      <w:r w:rsidRPr="00155B4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155B49" w:rsidRDefault="00155B49" w:rsidP="00155B49"/>
    <w:p w:rsidR="00155B49" w:rsidRDefault="00155B49" w:rsidP="00155B49">
      <w:pPr>
        <w:jc w:val="both"/>
      </w:pPr>
    </w:p>
    <w:sectPr w:rsidR="00155B49" w:rsidSect="00775CDB">
      <w:pgSz w:w="11906" w:h="16838"/>
      <w:pgMar w:top="737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155B49"/>
    <w:rsid w:val="00064AA7"/>
    <w:rsid w:val="001536DE"/>
    <w:rsid w:val="00155B49"/>
    <w:rsid w:val="0077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55B49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15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5B49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55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2018-12-13T13:43:00Z</dcterms:created>
  <dcterms:modified xsi:type="dcterms:W3CDTF">2018-12-14T09:25:00Z</dcterms:modified>
</cp:coreProperties>
</file>