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15800"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C6FB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B452A2"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511E7B" w:rsidRPr="004558DA" w:rsidRDefault="004558DA" w:rsidP="002C7E19">
      <w:pPr>
        <w:ind w:left="-181"/>
        <w:jc w:val="center"/>
        <w:rPr>
          <w:b/>
          <w:lang w:val="en-US"/>
        </w:rPr>
      </w:pPr>
      <w:r>
        <w:rPr>
          <w:b/>
        </w:rPr>
        <w:t>об оставлении заявления без рассмотрения</w:t>
      </w:r>
    </w:p>
    <w:p w:rsidR="00485397" w:rsidRDefault="00485397" w:rsidP="00A032B6">
      <w:pPr>
        <w:ind w:left="-181"/>
        <w:jc w:val="center"/>
        <w:rPr>
          <w:b/>
        </w:rPr>
      </w:pPr>
    </w:p>
    <w:p w:rsidR="00485397" w:rsidRDefault="00485397" w:rsidP="00A032B6">
      <w:pPr>
        <w:ind w:left="-181"/>
        <w:jc w:val="center"/>
        <w:rPr>
          <w:b/>
        </w:rPr>
      </w:pPr>
    </w:p>
    <w:p w:rsidR="00485397" w:rsidRPr="0051667D" w:rsidRDefault="00485397"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6D5BB2" w:rsidRDefault="00435D1A" w:rsidP="004558DA">
            <w:pPr>
              <w:rPr>
                <w:rFonts w:eastAsia="Calibri"/>
                <w:b/>
                <w:bCs/>
              </w:rPr>
            </w:pPr>
            <w:r w:rsidRPr="006D5BB2">
              <w:rPr>
                <w:rFonts w:eastAsia="Calibri"/>
                <w:b/>
              </w:rPr>
              <w:t>«</w:t>
            </w:r>
            <w:r w:rsidR="004558DA">
              <w:rPr>
                <w:rFonts w:eastAsia="Calibri"/>
                <w:b/>
                <w:u w:val="single"/>
                <w:lang w:val="en-US"/>
              </w:rPr>
              <w:t>6</w:t>
            </w:r>
            <w:r w:rsidRPr="006D5BB2">
              <w:rPr>
                <w:rFonts w:eastAsia="Calibri"/>
                <w:b/>
              </w:rPr>
              <w:t>»</w:t>
            </w:r>
            <w:r w:rsidR="006D5BB2">
              <w:rPr>
                <w:rFonts w:eastAsia="Calibri"/>
                <w:b/>
              </w:rPr>
              <w:t xml:space="preserve"> </w:t>
            </w:r>
            <w:r w:rsidR="00B0561A" w:rsidRPr="00B0561A">
              <w:rPr>
                <w:rFonts w:eastAsia="Calibri"/>
                <w:b/>
                <w:u w:val="single"/>
              </w:rPr>
              <w:t>августа</w:t>
            </w:r>
            <w:r w:rsidRPr="00E07081">
              <w:rPr>
                <w:rFonts w:eastAsia="Calibri"/>
                <w:b/>
                <w:bCs/>
                <w:u w:val="single"/>
              </w:rPr>
              <w:t xml:space="preserve"> </w:t>
            </w:r>
            <w:r w:rsidRPr="006D5BB2">
              <w:rPr>
                <w:rFonts w:eastAsia="Calibri"/>
                <w:b/>
                <w:bCs/>
                <w:u w:val="single"/>
              </w:rPr>
              <w:t>20</w:t>
            </w:r>
            <w:r w:rsidR="006D5BB2">
              <w:rPr>
                <w:rFonts w:eastAsia="Calibri"/>
                <w:b/>
                <w:bCs/>
                <w:u w:val="single"/>
              </w:rPr>
              <w:t xml:space="preserve">18 </w:t>
            </w:r>
            <w:r w:rsidRPr="006D5BB2">
              <w:rPr>
                <w:rFonts w:eastAsia="Calibri"/>
                <w:b/>
                <w:bCs/>
                <w:u w:val="single"/>
              </w:rPr>
              <w:t>г</w:t>
            </w:r>
            <w:r w:rsidR="00E07081">
              <w:rPr>
                <w:rFonts w:eastAsia="Calibri"/>
                <w:b/>
                <w:bCs/>
                <w:u w:val="single"/>
              </w:rPr>
              <w:t>ода</w:t>
            </w:r>
          </w:p>
        </w:tc>
        <w:tc>
          <w:tcPr>
            <w:tcW w:w="4971" w:type="dxa"/>
            <w:gridSpan w:val="3"/>
          </w:tcPr>
          <w:p w:rsidR="00435D1A" w:rsidRPr="006D5BB2" w:rsidRDefault="00435D1A" w:rsidP="007535B1">
            <w:pPr>
              <w:rPr>
                <w:rFonts w:eastAsia="Calibri"/>
                <w:b/>
                <w:bCs/>
                <w:u w:val="single"/>
              </w:rPr>
            </w:pPr>
            <w:r w:rsidRPr="006D5BB2">
              <w:rPr>
                <w:rFonts w:eastAsia="Calibri"/>
                <w:b/>
                <w:bCs/>
              </w:rPr>
              <w:t xml:space="preserve">                          </w:t>
            </w:r>
            <w:r w:rsidR="00E07081">
              <w:rPr>
                <w:rFonts w:eastAsia="Calibri"/>
                <w:b/>
                <w:bCs/>
              </w:rPr>
              <w:t xml:space="preserve">       </w:t>
            </w:r>
            <w:r w:rsidRPr="006D5BB2">
              <w:rPr>
                <w:rFonts w:eastAsia="Calibri"/>
                <w:b/>
                <w:bCs/>
              </w:rPr>
              <w:t xml:space="preserve">     Дело </w:t>
            </w:r>
            <w:r w:rsidRPr="006D5BB2">
              <w:rPr>
                <w:rFonts w:eastAsia="Calibri"/>
                <w:b/>
              </w:rPr>
              <w:t xml:space="preserve">№  </w:t>
            </w:r>
            <w:r w:rsidR="007535B1">
              <w:rPr>
                <w:rFonts w:eastAsia="Calibri"/>
                <w:b/>
                <w:u w:val="single"/>
              </w:rPr>
              <w:t>494</w:t>
            </w:r>
            <w:r w:rsidR="00E07081" w:rsidRPr="005D2CC9">
              <w:rPr>
                <w:rFonts w:eastAsia="Calibri"/>
                <w:b/>
                <w:u w:val="single"/>
              </w:rPr>
              <w:t>/</w:t>
            </w:r>
            <w:r w:rsidR="00E07081">
              <w:rPr>
                <w:rFonts w:eastAsia="Calibri"/>
                <w:b/>
                <w:u w:val="single"/>
              </w:rPr>
              <w:t>1</w:t>
            </w:r>
            <w:r w:rsidR="00237578">
              <w:rPr>
                <w:rFonts w:eastAsia="Calibri"/>
                <w:b/>
                <w:u w:val="single"/>
              </w:rPr>
              <w:t>8</w:t>
            </w:r>
            <w:r w:rsidR="006D5BB2">
              <w:rPr>
                <w:rFonts w:eastAsia="Calibri"/>
                <w:b/>
                <w:u w:val="single"/>
              </w:rPr>
              <w:t>-11</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717526" w:rsidRPr="001823B7" w:rsidTr="00435D1A">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891" w:type="dxa"/>
            <w:gridSpan w:val="2"/>
          </w:tcPr>
          <w:p w:rsidR="008273B9" w:rsidRPr="001823B7" w:rsidRDefault="008273B9" w:rsidP="006E570D">
            <w:pPr>
              <w:rPr>
                <w:rFonts w:eastAsia="Calibri"/>
                <w:b/>
                <w:bCs/>
                <w:sz w:val="20"/>
                <w:szCs w:val="20"/>
              </w:rPr>
            </w:pPr>
          </w:p>
        </w:tc>
      </w:tr>
      <w:tr w:rsidR="0051667D" w:rsidRPr="001823B7" w:rsidTr="00435D1A">
        <w:tc>
          <w:tcPr>
            <w:tcW w:w="1199" w:type="dxa"/>
          </w:tcPr>
          <w:p w:rsidR="008273B9" w:rsidRPr="001823B7" w:rsidRDefault="008273B9" w:rsidP="00B40322">
            <w:pPr>
              <w:ind w:right="792" w:firstLine="163"/>
              <w:rPr>
                <w:rFonts w:eastAsia="Calibri"/>
                <w:b/>
                <w:bCs/>
                <w:sz w:val="20"/>
                <w:szCs w:val="20"/>
              </w:rPr>
            </w:pPr>
          </w:p>
        </w:tc>
        <w:tc>
          <w:tcPr>
            <w:tcW w:w="1418" w:type="dxa"/>
            <w:gridSpan w:val="4"/>
          </w:tcPr>
          <w:p w:rsidR="008273B9" w:rsidRPr="001823B7" w:rsidRDefault="008273B9" w:rsidP="00B40322">
            <w:pPr>
              <w:ind w:right="792"/>
              <w:rPr>
                <w:rFonts w:eastAsia="Calibri"/>
                <w:b/>
                <w:bCs/>
                <w:sz w:val="20"/>
                <w:szCs w:val="20"/>
              </w:rPr>
            </w:pPr>
          </w:p>
        </w:tc>
        <w:tc>
          <w:tcPr>
            <w:tcW w:w="838" w:type="dxa"/>
          </w:tcPr>
          <w:p w:rsidR="008273B9" w:rsidRPr="001823B7" w:rsidRDefault="008273B9" w:rsidP="00B40322">
            <w:pPr>
              <w:ind w:right="792"/>
              <w:rPr>
                <w:rFonts w:eastAsia="Calibri"/>
                <w:b/>
                <w:bCs/>
                <w:sz w:val="20"/>
                <w:szCs w:val="20"/>
              </w:rPr>
            </w:pPr>
          </w:p>
        </w:tc>
        <w:tc>
          <w:tcPr>
            <w:tcW w:w="3577" w:type="dxa"/>
            <w:gridSpan w:val="2"/>
          </w:tcPr>
          <w:p w:rsidR="008273B9" w:rsidRPr="001823B7" w:rsidRDefault="008273B9" w:rsidP="00B40322">
            <w:pPr>
              <w:ind w:right="792"/>
              <w:rPr>
                <w:rFonts w:eastAsia="Calibri"/>
                <w:b/>
                <w:bCs/>
                <w:sz w:val="20"/>
                <w:szCs w:val="20"/>
              </w:rPr>
            </w:pPr>
          </w:p>
        </w:tc>
        <w:tc>
          <w:tcPr>
            <w:tcW w:w="2891" w:type="dxa"/>
            <w:gridSpan w:val="2"/>
          </w:tcPr>
          <w:p w:rsidR="008273B9" w:rsidRPr="001823B7" w:rsidRDefault="008273B9" w:rsidP="00B40322">
            <w:pPr>
              <w:ind w:right="792"/>
              <w:rPr>
                <w:rFonts w:eastAsia="Calibri"/>
                <w:b/>
                <w:bCs/>
                <w:sz w:val="20"/>
                <w:szCs w:val="20"/>
              </w:rPr>
            </w:pPr>
          </w:p>
        </w:tc>
      </w:tr>
    </w:tbl>
    <w:p w:rsidR="00C47647" w:rsidRDefault="003A778C" w:rsidP="003A778C">
      <w:pPr>
        <w:ind w:firstLine="709"/>
        <w:jc w:val="both"/>
      </w:pPr>
      <w:proofErr w:type="gramStart"/>
      <w:r>
        <w:t>Арбитражный суд Приднестровской Молдавской Республики в составе судьи            Е. А. Кушко</w:t>
      </w:r>
      <w:r w:rsidR="00C47647">
        <w:t>, рассмотрев в открытом судебном заседании</w:t>
      </w:r>
      <w:r w:rsidR="007535B1">
        <w:t xml:space="preserve"> заявлени</w:t>
      </w:r>
      <w:r w:rsidR="00C47647">
        <w:t>е</w:t>
      </w:r>
      <w:r w:rsidR="00511E7B">
        <w:t xml:space="preserve"> Налоговой инспекции по г. Бендеры (г. Бендеры, ул. Калинина, 17) о признании несостоятельным (банкротом) </w:t>
      </w:r>
      <w:r w:rsidR="007535B1">
        <w:t>открыто</w:t>
      </w:r>
      <w:r w:rsidR="003E1199">
        <w:t>го</w:t>
      </w:r>
      <w:r w:rsidR="007535B1">
        <w:t xml:space="preserve"> акционерно</w:t>
      </w:r>
      <w:r w:rsidR="003E1199">
        <w:t>го</w:t>
      </w:r>
      <w:r w:rsidR="007535B1">
        <w:t xml:space="preserve"> обществ</w:t>
      </w:r>
      <w:r w:rsidR="003E1199">
        <w:t>а</w:t>
      </w:r>
      <w:r w:rsidR="007535B1">
        <w:t xml:space="preserve"> «</w:t>
      </w:r>
      <w:proofErr w:type="spellStart"/>
      <w:r w:rsidR="007535B1">
        <w:t>Тирасмебель</w:t>
      </w:r>
      <w:proofErr w:type="spellEnd"/>
      <w:r w:rsidR="007535B1">
        <w:t>»</w:t>
      </w:r>
      <w:r w:rsidR="00511E7B">
        <w:t xml:space="preserve"> (г. Бендеры, ул. Суворова, д. 7, встроенный магазин)</w:t>
      </w:r>
      <w:r w:rsidR="00C47647">
        <w:t xml:space="preserve"> </w:t>
      </w:r>
      <w:proofErr w:type="gramEnd"/>
    </w:p>
    <w:p w:rsidR="003A778C" w:rsidRDefault="00C47647" w:rsidP="003A778C">
      <w:pPr>
        <w:ind w:firstLine="709"/>
        <w:jc w:val="both"/>
      </w:pPr>
      <w:r>
        <w:t xml:space="preserve">в отсутствие Налоговой инспекции по </w:t>
      </w:r>
      <w:proofErr w:type="gramStart"/>
      <w:r>
        <w:t>г</w:t>
      </w:r>
      <w:proofErr w:type="gramEnd"/>
      <w:r>
        <w:t>. Бендеры, извещенной надлежащим образом о времени и месте судебного разбирательства,</w:t>
      </w:r>
    </w:p>
    <w:p w:rsidR="00C47647" w:rsidRDefault="00C47647" w:rsidP="003A778C">
      <w:pPr>
        <w:ind w:firstLine="709"/>
        <w:jc w:val="both"/>
      </w:pPr>
      <w:r>
        <w:t>в присутствии представителя открытого акционерного общества «</w:t>
      </w:r>
      <w:proofErr w:type="spellStart"/>
      <w:r>
        <w:t>Тирасмебель</w:t>
      </w:r>
      <w:proofErr w:type="spellEnd"/>
      <w:r>
        <w:t>» -       Д. Н. Воробьева по доверенности от 9 февраля 2018 года,</w:t>
      </w:r>
    </w:p>
    <w:p w:rsidR="00C47647" w:rsidRDefault="00C47647" w:rsidP="003A778C">
      <w:pPr>
        <w:ind w:firstLine="709"/>
        <w:jc w:val="both"/>
      </w:pPr>
      <w: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485397" w:rsidRDefault="00485397" w:rsidP="0090468D">
      <w:pPr>
        <w:jc w:val="center"/>
        <w:outlineLvl w:val="0"/>
        <w:rPr>
          <w:b/>
        </w:rPr>
      </w:pPr>
    </w:p>
    <w:p w:rsidR="0090468D" w:rsidRDefault="0090468D" w:rsidP="0090468D">
      <w:pPr>
        <w:jc w:val="center"/>
        <w:outlineLvl w:val="0"/>
        <w:rPr>
          <w:b/>
        </w:rPr>
      </w:pPr>
      <w:r>
        <w:rPr>
          <w:b/>
        </w:rPr>
        <w:t>У С Т А Н О В И Л:</w:t>
      </w:r>
    </w:p>
    <w:p w:rsidR="0090468D" w:rsidRDefault="0090468D" w:rsidP="0090468D">
      <w:pPr>
        <w:ind w:firstLine="1276"/>
        <w:jc w:val="center"/>
        <w:rPr>
          <w:b/>
        </w:rPr>
      </w:pPr>
    </w:p>
    <w:p w:rsidR="000352A8" w:rsidRDefault="002C7E19" w:rsidP="002C7E19">
      <w:pPr>
        <w:ind w:firstLine="720"/>
        <w:jc w:val="both"/>
      </w:pPr>
      <w:r>
        <w:t xml:space="preserve">определением Арбитражного суда Приднестровской Молдавской Республики (далее – </w:t>
      </w:r>
      <w:r w:rsidR="00C47647">
        <w:t xml:space="preserve">Арбитражный суд, </w:t>
      </w:r>
      <w:r>
        <w:t xml:space="preserve">суд) от 24 июля 2018 года к производству суда принято заявление Налоговой инспекции по </w:t>
      </w:r>
      <w:proofErr w:type="gramStart"/>
      <w:r>
        <w:t>г</w:t>
      </w:r>
      <w:proofErr w:type="gramEnd"/>
      <w:r>
        <w:t xml:space="preserve">. Бендеры </w:t>
      </w:r>
      <w:r w:rsidR="00C47647">
        <w:t xml:space="preserve">(далее – заявитель, налоговая инспекция) </w:t>
      </w:r>
      <w:r>
        <w:t>о признании несостоятельным (банкротом) открытого акционерного общества «</w:t>
      </w:r>
      <w:proofErr w:type="spellStart"/>
      <w:r>
        <w:t>Тирасмебель</w:t>
      </w:r>
      <w:proofErr w:type="spellEnd"/>
      <w:r>
        <w:t>», производство по которому приостановлено.</w:t>
      </w:r>
    </w:p>
    <w:p w:rsidR="00C47647" w:rsidRDefault="00C47647" w:rsidP="002C7E19">
      <w:pPr>
        <w:ind w:firstLine="720"/>
        <w:jc w:val="both"/>
      </w:pPr>
      <w:r>
        <w:t>Определением суда от 1 августа 2018 года производство по делу № 494/18-11 возобновлено и судебное заседание назначено на 6 августа 2018 года.</w:t>
      </w:r>
    </w:p>
    <w:p w:rsidR="00C47647" w:rsidRDefault="00C47647" w:rsidP="002C7E19">
      <w:pPr>
        <w:ind w:firstLine="720"/>
        <w:jc w:val="both"/>
      </w:pPr>
      <w:r>
        <w:t>В состоявшемся в назначенное время судом в порядке статьи 104 Арбитражного процессуального кодекса Приднестровской Молдавской Республики (далее – АПК ПМР) установлена неявка заявителя.</w:t>
      </w:r>
    </w:p>
    <w:p w:rsidR="00C47647" w:rsidRPr="00C47647" w:rsidRDefault="00C47647" w:rsidP="00C47647">
      <w:pPr>
        <w:ind w:firstLine="720"/>
        <w:jc w:val="both"/>
      </w:pPr>
      <w:r>
        <w:t>В соответствии с пунктом 1 статьи 131 АПК ПМР д</w:t>
      </w:r>
      <w:r w:rsidRPr="00C47647">
        <w:t>ела о несостоятельности (банкротстве) рассматриваются арбитражным судом по правилам, предусмотренным на</w:t>
      </w:r>
      <w:r>
        <w:t>званным</w:t>
      </w:r>
      <w:r w:rsidRPr="00C47647">
        <w:t xml:space="preserve"> Кодексом, с особенностями, установленными законами, регулирующими вопросы несостоятельности (банкротства).</w:t>
      </w:r>
    </w:p>
    <w:p w:rsidR="00C47647" w:rsidRDefault="00C47647" w:rsidP="00C47647">
      <w:pPr>
        <w:ind w:firstLine="720"/>
        <w:jc w:val="both"/>
      </w:pPr>
      <w:r>
        <w:t>Из содержания п</w:t>
      </w:r>
      <w:r w:rsidRPr="00FB766A">
        <w:t xml:space="preserve">ункта </w:t>
      </w:r>
      <w:r>
        <w:t>3</w:t>
      </w:r>
      <w:r w:rsidRPr="00FB766A">
        <w:t xml:space="preserve"> статьи 108 </w:t>
      </w:r>
      <w:r>
        <w:t xml:space="preserve">АПК ПМР следует, что </w:t>
      </w:r>
      <w:r w:rsidRPr="00FB766A">
        <w:t xml:space="preserve">спор может быть разрешен в отсутствие </w:t>
      </w:r>
      <w:r>
        <w:t>истца,</w:t>
      </w:r>
      <w:r w:rsidRPr="00C47647">
        <w:t xml:space="preserve"> </w:t>
      </w:r>
      <w:r w:rsidRPr="00FB766A">
        <w:t>надлежащим образом извещенного о времени и месте разбирательства дела,</w:t>
      </w:r>
      <w:r>
        <w:t xml:space="preserve"> только при наличии </w:t>
      </w:r>
      <w:r w:rsidRPr="00FB766A">
        <w:t>заявления о рассмотрении дела в его отсутствие</w:t>
      </w:r>
      <w:r>
        <w:t>.</w:t>
      </w:r>
    </w:p>
    <w:p w:rsidR="00C47647" w:rsidRDefault="004B7AF4" w:rsidP="00C47647">
      <w:pPr>
        <w:ind w:firstLine="720"/>
        <w:jc w:val="both"/>
      </w:pPr>
      <w:r>
        <w:t xml:space="preserve">Согласно выпискам из Журнала регистрации исходящей корреспонденции (переписки) Арбитражного суда копии определений суда от 24 июля 2018 года и от 1 августа 2018 года получены налоговой инспекцией нарочно; кроме того, копия судебного </w:t>
      </w:r>
      <w:r>
        <w:lastRenderedPageBreak/>
        <w:t>акта от 1 августа 2018 года дополнительно направлена заявителю посредством факсимильной связи.</w:t>
      </w:r>
    </w:p>
    <w:p w:rsidR="00B452A2" w:rsidRPr="004B7AF4" w:rsidRDefault="004B7AF4" w:rsidP="00C47647">
      <w:pPr>
        <w:ind w:firstLine="720"/>
        <w:jc w:val="both"/>
      </w:pPr>
      <w:r>
        <w:t>Данные обстоятельства свидетельствуют о надлежащем извещении налоговой инспекции о времени и месте судебного разбирательства.</w:t>
      </w:r>
    </w:p>
    <w:p w:rsidR="00B452A2" w:rsidRPr="004969F5" w:rsidRDefault="00B452A2" w:rsidP="00B452A2">
      <w:pPr>
        <w:ind w:firstLine="720"/>
        <w:jc w:val="both"/>
      </w:pPr>
      <w:proofErr w:type="gramStart"/>
      <w:r w:rsidRPr="004969F5">
        <w:t xml:space="preserve">В соответствии с пунктом 5 статьи 102-1 </w:t>
      </w:r>
      <w:r>
        <w:t>АПК ПМР лица</w:t>
      </w:r>
      <w:r w:rsidRPr="004969F5">
        <w:t>, участвующие в деле, после получения определения о принятии искового заявления или заявления к производству арбитражного суда, а лица, вступившие в дело или привлеченные к участию в деле позднее, и иные участники арбитражного процесса – после получения первого судебного акта по рассматриваемому делу самостоятельно предпринимают меры по получению информации о движении дела</w:t>
      </w:r>
      <w:proofErr w:type="gramEnd"/>
      <w:r w:rsidRPr="004969F5">
        <w:t xml:space="preserve"> с использованием любых источников такой информации и любых сре</w:t>
      </w:r>
      <w:proofErr w:type="gramStart"/>
      <w:r w:rsidRPr="004969F5">
        <w:t>дств св</w:t>
      </w:r>
      <w:proofErr w:type="gramEnd"/>
      <w:r w:rsidRPr="004969F5">
        <w:t>язи.</w:t>
      </w:r>
    </w:p>
    <w:p w:rsidR="00B452A2" w:rsidRPr="004969F5" w:rsidRDefault="00B452A2" w:rsidP="00B452A2">
      <w:pPr>
        <w:ind w:firstLine="720"/>
        <w:jc w:val="both"/>
      </w:pPr>
      <w:r w:rsidRPr="004969F5">
        <w:t>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B452A2" w:rsidRDefault="00B452A2" w:rsidP="00B452A2">
      <w:pPr>
        <w:ind w:firstLine="720"/>
        <w:jc w:val="both"/>
      </w:pPr>
      <w:r w:rsidRPr="004969F5">
        <w:t xml:space="preserve"> Неблагоприятное последствие в связи с неявкой в судебное заседание </w:t>
      </w:r>
      <w:r>
        <w:t xml:space="preserve">заявителя </w:t>
      </w:r>
      <w:r w:rsidRPr="004969F5">
        <w:t>предусмотрено подпунктом 6) ста</w:t>
      </w:r>
      <w:r>
        <w:t>тьи 76 названного выше Кодекса.</w:t>
      </w:r>
    </w:p>
    <w:p w:rsidR="00B452A2" w:rsidRDefault="00B452A2" w:rsidP="00B452A2">
      <w:pPr>
        <w:ind w:firstLine="720"/>
        <w:jc w:val="both"/>
      </w:pPr>
      <w:r w:rsidRPr="004969F5">
        <w:t>В соответствии с обозначенной процессуальной нормой Арбитражный суд оставляет заявление без рассмотрения, если заявитель не явился в заседание арбитражного суда и не заявил о рассмотрении дела без его участия</w:t>
      </w:r>
      <w:r>
        <w:t>.</w:t>
      </w:r>
    </w:p>
    <w:p w:rsidR="00B452A2" w:rsidRDefault="00B452A2" w:rsidP="00B452A2">
      <w:pPr>
        <w:ind w:firstLine="720"/>
        <w:jc w:val="both"/>
      </w:pPr>
      <w:proofErr w:type="gramStart"/>
      <w:r>
        <w:t xml:space="preserve">Принимая во внимание факт надлежащего извещения налоговой инспекции о времени и месте судебного разбирательства и отсутствие заявления о рассмотрении дела </w:t>
      </w:r>
      <w:r w:rsidR="001725B8">
        <w:t>без участия</w:t>
      </w:r>
      <w:r>
        <w:t xml:space="preserve"> ее представителей, Арбитражный суд приходит к выводу о наличии безусловного основания для оставления поданного заявления без рассмотрения в соответствии с подпунктом 6) статьи 76 АПК ПМР, </w:t>
      </w:r>
      <w:proofErr w:type="spellStart"/>
      <w:r>
        <w:t>норм</w:t>
      </w:r>
      <w:r w:rsidR="001725B8">
        <w:t>о</w:t>
      </w:r>
      <w:r>
        <w:t>положения</w:t>
      </w:r>
      <w:proofErr w:type="spellEnd"/>
      <w:r>
        <w:t xml:space="preserve"> </w:t>
      </w:r>
      <w:r w:rsidR="001725B8">
        <w:t>которого корреспондируются с подпунктом е) пункта 1 статьи 49 Закона Приднестровской</w:t>
      </w:r>
      <w:proofErr w:type="gramEnd"/>
      <w:r w:rsidR="001725B8">
        <w:t xml:space="preserve"> Молдавской Республики «О несостоятельности (банкротстве)»</w:t>
      </w:r>
    </w:p>
    <w:p w:rsidR="00B452A2" w:rsidRPr="008B7746" w:rsidRDefault="00B452A2" w:rsidP="00B452A2">
      <w:pPr>
        <w:pStyle w:val="afa"/>
        <w:ind w:firstLine="720"/>
        <w:jc w:val="both"/>
        <w:rPr>
          <w:rFonts w:ascii="Times New Roman" w:hAnsi="Times New Roman"/>
          <w:sz w:val="24"/>
          <w:szCs w:val="24"/>
        </w:rPr>
      </w:pPr>
      <w:r w:rsidRPr="008B7746">
        <w:rPr>
          <w:rFonts w:ascii="Times New Roman" w:hAnsi="Times New Roman"/>
          <w:sz w:val="24"/>
          <w:szCs w:val="24"/>
        </w:rPr>
        <w:t xml:space="preserve">В соответствии с пунктами 1, 2 статьи 77 </w:t>
      </w:r>
      <w:r w:rsidR="001725B8">
        <w:rPr>
          <w:rFonts w:ascii="Times New Roman" w:hAnsi="Times New Roman"/>
          <w:sz w:val="24"/>
          <w:szCs w:val="24"/>
        </w:rPr>
        <w:t>АПК ПМР</w:t>
      </w:r>
      <w:r w:rsidRPr="008B7746">
        <w:rPr>
          <w:rFonts w:ascii="Times New Roman" w:hAnsi="Times New Roman"/>
          <w:sz w:val="24"/>
          <w:szCs w:val="24"/>
        </w:rPr>
        <w:t xml:space="preserve"> об оставлении </w:t>
      </w:r>
      <w:r w:rsidR="007370DC">
        <w:rPr>
          <w:rFonts w:ascii="Times New Roman" w:hAnsi="Times New Roman"/>
          <w:sz w:val="24"/>
          <w:szCs w:val="24"/>
        </w:rPr>
        <w:t>заявления</w:t>
      </w:r>
      <w:r w:rsidRPr="008B7746">
        <w:rPr>
          <w:rFonts w:ascii="Times New Roman" w:hAnsi="Times New Roman"/>
          <w:sz w:val="24"/>
          <w:szCs w:val="24"/>
        </w:rPr>
        <w:t xml:space="preserve"> без рассмотрения суд выносит определение, в котором могут быть разрешены вопросы о распределении между лицами, участвующими в деле, судебных расходов, о возврате государственной пошлины из бюджета.</w:t>
      </w:r>
    </w:p>
    <w:p w:rsidR="00B452A2" w:rsidRPr="00046E86" w:rsidRDefault="00B452A2" w:rsidP="00B452A2">
      <w:pPr>
        <w:ind w:firstLine="720"/>
        <w:jc w:val="both"/>
      </w:pPr>
      <w:r>
        <w:t xml:space="preserve">Исходя из положений </w:t>
      </w:r>
      <w:r w:rsidR="00E13F22">
        <w:t>подпункта 8) пункта 2 статьи 5 Закона Приднестровской Молдавской Республики «О государственной пошлине»,</w:t>
      </w:r>
      <w:r>
        <w:t xml:space="preserve"> суд приходит к выводу о том, что государственная пошлина за рассмотрение настоящего дела не подлежит взысканию</w:t>
      </w:r>
      <w:r w:rsidR="00E13F22">
        <w:t xml:space="preserve"> ввиду того, что налоговая инспекция освобождена от ее уплаты</w:t>
      </w:r>
      <w:r>
        <w:t>.</w:t>
      </w:r>
    </w:p>
    <w:p w:rsidR="00B452A2" w:rsidRDefault="00B452A2" w:rsidP="00B452A2">
      <w:pPr>
        <w:ind w:firstLine="720"/>
        <w:jc w:val="both"/>
      </w:pPr>
      <w:r>
        <w:t xml:space="preserve">При таких обстоятельствах Арбитражный суд Приднестровской Молдавской Республики, руководствуясь </w:t>
      </w:r>
      <w:r w:rsidR="00E13F22">
        <w:t xml:space="preserve">подпунктом е) пункта 1 статьи 49 Закона Приднестровской Молдавской Республики «О несостоятельности (банкротстве)», </w:t>
      </w:r>
      <w:r>
        <w:t>подпунктом 6) пункта 76, статьями 77, 128 Арбитражного процессуального кодекса Придне</w:t>
      </w:r>
      <w:r w:rsidR="00E13F22">
        <w:t xml:space="preserve">стровской Молдавской Республики, </w:t>
      </w:r>
    </w:p>
    <w:p w:rsidR="002C7E19" w:rsidRDefault="002C7E19" w:rsidP="002C7E19">
      <w:pPr>
        <w:ind w:firstLine="720"/>
        <w:jc w:val="both"/>
        <w:rPr>
          <w:b/>
        </w:rPr>
      </w:pPr>
    </w:p>
    <w:p w:rsidR="00485397" w:rsidRDefault="00485397" w:rsidP="00485397">
      <w:pPr>
        <w:ind w:firstLine="720"/>
        <w:jc w:val="center"/>
        <w:rPr>
          <w:b/>
        </w:rPr>
      </w:pPr>
      <w:r>
        <w:rPr>
          <w:b/>
        </w:rPr>
        <w:t xml:space="preserve">О </w:t>
      </w:r>
      <w:proofErr w:type="gramStart"/>
      <w:r>
        <w:rPr>
          <w:b/>
        </w:rPr>
        <w:t>П</w:t>
      </w:r>
      <w:proofErr w:type="gramEnd"/>
      <w:r>
        <w:rPr>
          <w:b/>
        </w:rPr>
        <w:t xml:space="preserve"> Р Е Д Е Л И Л:</w:t>
      </w:r>
    </w:p>
    <w:p w:rsidR="00485397" w:rsidRDefault="00485397" w:rsidP="00485397">
      <w:pPr>
        <w:ind w:firstLine="720"/>
        <w:jc w:val="center"/>
        <w:rPr>
          <w:b/>
        </w:rPr>
      </w:pPr>
    </w:p>
    <w:p w:rsidR="002C7E19" w:rsidRPr="00E13F22" w:rsidRDefault="00E13F22" w:rsidP="00E13F22">
      <w:pPr>
        <w:ind w:firstLine="709"/>
        <w:jc w:val="both"/>
      </w:pPr>
      <w:r>
        <w:t xml:space="preserve">оставить заявление Налоговой инспекции по </w:t>
      </w:r>
      <w:proofErr w:type="gramStart"/>
      <w:r>
        <w:t>г</w:t>
      </w:r>
      <w:proofErr w:type="gramEnd"/>
      <w:r>
        <w:t>. Бендеры</w:t>
      </w:r>
      <w:r w:rsidRPr="00E13F22">
        <w:t xml:space="preserve"> </w:t>
      </w:r>
      <w:r w:rsidR="00BB1388">
        <w:t>о признании открытого акционерного общества «</w:t>
      </w:r>
      <w:proofErr w:type="spellStart"/>
      <w:r w:rsidR="00BB1388">
        <w:t>Тирасмебель</w:t>
      </w:r>
      <w:proofErr w:type="spellEnd"/>
      <w:r w:rsidR="00BB1388">
        <w:t xml:space="preserve">» несостоятельным (банкротом) </w:t>
      </w:r>
      <w:r w:rsidRPr="00E13F22">
        <w:t>без рассмотрения</w:t>
      </w:r>
      <w:r w:rsidR="00BB1388">
        <w:t>.</w:t>
      </w:r>
    </w:p>
    <w:p w:rsidR="00BB1388" w:rsidRDefault="00BB1388" w:rsidP="00E13F22">
      <w:pPr>
        <w:ind w:firstLine="709"/>
        <w:jc w:val="both"/>
      </w:pPr>
    </w:p>
    <w:p w:rsidR="002C7E19" w:rsidRDefault="002C7E19" w:rsidP="00E13F22">
      <w:pPr>
        <w:ind w:firstLine="709"/>
        <w:jc w:val="both"/>
      </w:pPr>
      <w:r>
        <w:t xml:space="preserve">Определение </w:t>
      </w:r>
      <w:r w:rsidR="00BB1388">
        <w:t>может быть обжаловано в кассационную инстанцию  Арбитражного суда Приднестровской Молдавской Республики в течение 15 дней со дня его вынесения</w:t>
      </w:r>
      <w:r>
        <w:t xml:space="preserve">. </w:t>
      </w:r>
    </w:p>
    <w:p w:rsidR="002C7E19" w:rsidRDefault="002C7E19" w:rsidP="002C7E19">
      <w:pPr>
        <w:ind w:left="709"/>
        <w:jc w:val="both"/>
      </w:pPr>
    </w:p>
    <w:p w:rsidR="002C7E19" w:rsidRDefault="002C7E19" w:rsidP="002C7E19">
      <w:pPr>
        <w:jc w:val="both"/>
        <w:rPr>
          <w:b/>
        </w:rPr>
      </w:pPr>
      <w:r>
        <w:rPr>
          <w:b/>
        </w:rPr>
        <w:t>Судья Арбитражного суда</w:t>
      </w:r>
    </w:p>
    <w:p w:rsidR="002C7E19" w:rsidRDefault="002C7E19" w:rsidP="002C7E19">
      <w:pPr>
        <w:jc w:val="both"/>
      </w:pPr>
      <w:r>
        <w:rPr>
          <w:b/>
        </w:rPr>
        <w:t xml:space="preserve">Приднестровской Молдавской Республики      </w:t>
      </w:r>
      <w:r w:rsidRPr="00D461AC">
        <w:rPr>
          <w:b/>
        </w:rPr>
        <w:t xml:space="preserve">       </w:t>
      </w:r>
      <w:r>
        <w:rPr>
          <w:b/>
        </w:rPr>
        <w:t xml:space="preserve"> </w:t>
      </w:r>
      <w:r w:rsidR="004558DA" w:rsidRPr="004558DA">
        <w:rPr>
          <w:b/>
        </w:rPr>
        <w:t xml:space="preserve">  </w:t>
      </w:r>
      <w:r>
        <w:rPr>
          <w:b/>
        </w:rPr>
        <w:t xml:space="preserve">             </w:t>
      </w:r>
      <w:r w:rsidRPr="00D461AC">
        <w:rPr>
          <w:b/>
        </w:rPr>
        <w:t xml:space="preserve">                            Е.</w:t>
      </w:r>
      <w:r>
        <w:rPr>
          <w:b/>
        </w:rPr>
        <w:t xml:space="preserve"> </w:t>
      </w:r>
      <w:r w:rsidRPr="00D461AC">
        <w:rPr>
          <w:b/>
        </w:rPr>
        <w:t xml:space="preserve">А. Кушко </w:t>
      </w:r>
    </w:p>
    <w:p w:rsidR="00BC659F" w:rsidRDefault="00BC659F" w:rsidP="00485397">
      <w:pPr>
        <w:ind w:firstLine="709"/>
        <w:jc w:val="both"/>
        <w:rPr>
          <w:sz w:val="28"/>
          <w:szCs w:val="28"/>
        </w:rPr>
      </w:pPr>
    </w:p>
    <w:sectPr w:rsidR="00BC659F" w:rsidSect="00A73E14">
      <w:footerReference w:type="default" r:id="rId8"/>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F22" w:rsidRDefault="00E13F22" w:rsidP="00747910">
      <w:r>
        <w:separator/>
      </w:r>
    </w:p>
  </w:endnote>
  <w:endnote w:type="continuationSeparator" w:id="1">
    <w:p w:rsidR="00E13F22" w:rsidRDefault="00E13F2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22" w:rsidRPr="00081B5A" w:rsidRDefault="00E13F22" w:rsidP="00183632">
    <w:pPr>
      <w:pStyle w:val="a8"/>
      <w:rPr>
        <w:sz w:val="16"/>
        <w:szCs w:val="16"/>
      </w:rPr>
    </w:pPr>
    <w:r>
      <w:rPr>
        <w:sz w:val="16"/>
        <w:szCs w:val="16"/>
      </w:rPr>
      <w:t>Форма  № Ф-1</w:t>
    </w:r>
  </w:p>
  <w:p w:rsidR="00E13F22" w:rsidRPr="00747910" w:rsidRDefault="00E13F22" w:rsidP="00183632">
    <w:pPr>
      <w:pStyle w:val="a8"/>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E13F22" w:rsidRDefault="00E13F22" w:rsidP="00183632">
    <w:pPr>
      <w:pStyle w:val="a8"/>
      <w:tabs>
        <w:tab w:val="left" w:pos="900"/>
        <w:tab w:val="right" w:pos="9581"/>
      </w:tabs>
    </w:pPr>
    <w:r>
      <w:tab/>
    </w:r>
    <w:r>
      <w:tab/>
    </w:r>
    <w:r>
      <w:tab/>
    </w:r>
    <w:fldSimple w:instr=" PAGE   \* MERGEFORMAT ">
      <w:r w:rsidR="007370DC">
        <w:rPr>
          <w:noProof/>
        </w:rPr>
        <w:t>2</w:t>
      </w:r>
    </w:fldSimple>
  </w:p>
  <w:p w:rsidR="00E13F22" w:rsidRDefault="00E13F2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F22" w:rsidRDefault="00E13F22" w:rsidP="00747910">
      <w:r>
        <w:separator/>
      </w:r>
    </w:p>
  </w:footnote>
  <w:footnote w:type="continuationSeparator" w:id="1">
    <w:p w:rsidR="00E13F22" w:rsidRDefault="00E13F2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B3024C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4485CC9"/>
    <w:multiLevelType w:val="hybridMultilevel"/>
    <w:tmpl w:val="44B2C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A43F32"/>
    <w:multiLevelType w:val="hybridMultilevel"/>
    <w:tmpl w:val="4D5E9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4145D"/>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C47246"/>
    <w:multiLevelType w:val="multilevel"/>
    <w:tmpl w:val="63309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C157B5"/>
    <w:multiLevelType w:val="hybridMultilevel"/>
    <w:tmpl w:val="42E810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AF47E7"/>
    <w:multiLevelType w:val="hybridMultilevel"/>
    <w:tmpl w:val="44B2C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D421EA4"/>
    <w:multiLevelType w:val="hybridMultilevel"/>
    <w:tmpl w:val="9C8A0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E5D03"/>
    <w:multiLevelType w:val="hybridMultilevel"/>
    <w:tmpl w:val="23EEA610"/>
    <w:lvl w:ilvl="0" w:tplc="422C135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E180A86"/>
    <w:multiLevelType w:val="hybridMultilevel"/>
    <w:tmpl w:val="7D803960"/>
    <w:lvl w:ilvl="0" w:tplc="1D244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C55AD9"/>
    <w:multiLevelType w:val="multilevel"/>
    <w:tmpl w:val="FF5C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C914A9"/>
    <w:multiLevelType w:val="hybridMultilevel"/>
    <w:tmpl w:val="94B8EF4C"/>
    <w:lvl w:ilvl="0" w:tplc="6E62010C">
      <w:start w:val="2"/>
      <w:numFmt w:val="decimal"/>
      <w:lvlText w:val="%1."/>
      <w:lvlJc w:val="left"/>
      <w:pPr>
        <w:ind w:left="1089" w:hanging="360"/>
      </w:pPr>
      <w:rPr>
        <w:rFonts w:hint="default"/>
        <w:color w:val="auto"/>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2">
    <w:nsid w:val="408F7E91"/>
    <w:multiLevelType w:val="hybridMultilevel"/>
    <w:tmpl w:val="AA4A7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0A2A51"/>
    <w:multiLevelType w:val="hybridMultilevel"/>
    <w:tmpl w:val="4170E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46349E0"/>
    <w:multiLevelType w:val="hybridMultilevel"/>
    <w:tmpl w:val="3D14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FE2060"/>
    <w:multiLevelType w:val="hybridMultilevel"/>
    <w:tmpl w:val="9C8A0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7B1959"/>
    <w:multiLevelType w:val="hybridMultilevel"/>
    <w:tmpl w:val="E73CB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5B1EE4"/>
    <w:multiLevelType w:val="hybridMultilevel"/>
    <w:tmpl w:val="3D14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7D01B6"/>
    <w:multiLevelType w:val="hybridMultilevel"/>
    <w:tmpl w:val="89889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2C0D24"/>
    <w:multiLevelType w:val="hybridMultilevel"/>
    <w:tmpl w:val="BB844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E22200E"/>
    <w:multiLevelType w:val="hybridMultilevel"/>
    <w:tmpl w:val="959AB38C"/>
    <w:lvl w:ilvl="0" w:tplc="7F8C7E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5"/>
  </w:num>
  <w:num w:numId="5">
    <w:abstractNumId w:val="21"/>
  </w:num>
  <w:num w:numId="6">
    <w:abstractNumId w:val="4"/>
  </w:num>
  <w:num w:numId="7">
    <w:abstractNumId w:val="10"/>
  </w:num>
  <w:num w:numId="8">
    <w:abstractNumId w:val="16"/>
  </w:num>
  <w:num w:numId="9">
    <w:abstractNumId w:val="15"/>
  </w:num>
  <w:num w:numId="10">
    <w:abstractNumId w:val="18"/>
  </w:num>
  <w:num w:numId="11">
    <w:abstractNumId w:val="14"/>
  </w:num>
  <w:num w:numId="12">
    <w:abstractNumId w:val="17"/>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
  </w:num>
  <w:num w:numId="19">
    <w:abstractNumId w:val="1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num>
  <w:num w:numId="25">
    <w:abstractNumId w:val="2"/>
  </w:num>
  <w:num w:numId="26">
    <w:abstractNumId w:val="11"/>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mirrorMargins/>
  <w:proofState w:spelling="clean" w:grammar="clean"/>
  <w:stylePaneFormatFilter w:val="3F01"/>
  <w:defaultTabStop w:val="708"/>
  <w:noPunctuationKerning/>
  <w:characterSpacingControl w:val="doNotCompress"/>
  <w:hdrShapeDefaults>
    <o:shapedefaults v:ext="edit" spidmax="5121"/>
  </w:hdrShapeDefaults>
  <w:footnotePr>
    <w:footnote w:id="0"/>
    <w:footnote w:id="1"/>
  </w:footnotePr>
  <w:endnotePr>
    <w:endnote w:id="0"/>
    <w:endnote w:id="1"/>
  </w:endnotePr>
  <w:compat/>
  <w:rsids>
    <w:rsidRoot w:val="000C4195"/>
    <w:rsid w:val="000352A8"/>
    <w:rsid w:val="000400F3"/>
    <w:rsid w:val="00076BB8"/>
    <w:rsid w:val="00081B5A"/>
    <w:rsid w:val="00087CE7"/>
    <w:rsid w:val="000C4195"/>
    <w:rsid w:val="000C512D"/>
    <w:rsid w:val="000C64A5"/>
    <w:rsid w:val="000C6FBE"/>
    <w:rsid w:val="000E0A56"/>
    <w:rsid w:val="000E2672"/>
    <w:rsid w:val="000E5906"/>
    <w:rsid w:val="00106F21"/>
    <w:rsid w:val="00112378"/>
    <w:rsid w:val="001264F7"/>
    <w:rsid w:val="00130582"/>
    <w:rsid w:val="0013095E"/>
    <w:rsid w:val="001725B8"/>
    <w:rsid w:val="001823B7"/>
    <w:rsid w:val="00183632"/>
    <w:rsid w:val="001A48C1"/>
    <w:rsid w:val="001C1B4F"/>
    <w:rsid w:val="001D376D"/>
    <w:rsid w:val="00206E8D"/>
    <w:rsid w:val="00212E13"/>
    <w:rsid w:val="00237578"/>
    <w:rsid w:val="002431E5"/>
    <w:rsid w:val="0026059C"/>
    <w:rsid w:val="002935E2"/>
    <w:rsid w:val="002C7E19"/>
    <w:rsid w:val="002D2926"/>
    <w:rsid w:val="002F68A8"/>
    <w:rsid w:val="003149CE"/>
    <w:rsid w:val="00365A17"/>
    <w:rsid w:val="00381CF3"/>
    <w:rsid w:val="003A617A"/>
    <w:rsid w:val="003A7545"/>
    <w:rsid w:val="003A778C"/>
    <w:rsid w:val="003D2873"/>
    <w:rsid w:val="003E1199"/>
    <w:rsid w:val="00407E51"/>
    <w:rsid w:val="00424065"/>
    <w:rsid w:val="00433710"/>
    <w:rsid w:val="00435D1A"/>
    <w:rsid w:val="00444EB1"/>
    <w:rsid w:val="004558DA"/>
    <w:rsid w:val="004767EB"/>
    <w:rsid w:val="00485397"/>
    <w:rsid w:val="004A01C7"/>
    <w:rsid w:val="004B0F41"/>
    <w:rsid w:val="004B7AF4"/>
    <w:rsid w:val="004C56EA"/>
    <w:rsid w:val="004C701C"/>
    <w:rsid w:val="004E1233"/>
    <w:rsid w:val="004E50E2"/>
    <w:rsid w:val="004F7B6D"/>
    <w:rsid w:val="005023DD"/>
    <w:rsid w:val="00511E7B"/>
    <w:rsid w:val="00511EEE"/>
    <w:rsid w:val="0051667D"/>
    <w:rsid w:val="0053648F"/>
    <w:rsid w:val="005A43C2"/>
    <w:rsid w:val="005A6736"/>
    <w:rsid w:val="005D2CC9"/>
    <w:rsid w:val="005E2287"/>
    <w:rsid w:val="00601345"/>
    <w:rsid w:val="00645ED2"/>
    <w:rsid w:val="00645F46"/>
    <w:rsid w:val="00694E57"/>
    <w:rsid w:val="006C6D2B"/>
    <w:rsid w:val="006C7BF9"/>
    <w:rsid w:val="006D5BB2"/>
    <w:rsid w:val="006E570D"/>
    <w:rsid w:val="006F2D55"/>
    <w:rsid w:val="00710036"/>
    <w:rsid w:val="00717526"/>
    <w:rsid w:val="007370DC"/>
    <w:rsid w:val="00747910"/>
    <w:rsid w:val="0075091C"/>
    <w:rsid w:val="007535B1"/>
    <w:rsid w:val="007A51C3"/>
    <w:rsid w:val="00813A13"/>
    <w:rsid w:val="008267E7"/>
    <w:rsid w:val="008273B9"/>
    <w:rsid w:val="00833454"/>
    <w:rsid w:val="00845AB3"/>
    <w:rsid w:val="00893DFF"/>
    <w:rsid w:val="008A11D6"/>
    <w:rsid w:val="008A4F7B"/>
    <w:rsid w:val="008B076C"/>
    <w:rsid w:val="008B41C9"/>
    <w:rsid w:val="008C43FC"/>
    <w:rsid w:val="008D159B"/>
    <w:rsid w:val="008F1F55"/>
    <w:rsid w:val="00900716"/>
    <w:rsid w:val="0090468D"/>
    <w:rsid w:val="00904994"/>
    <w:rsid w:val="00912645"/>
    <w:rsid w:val="00917458"/>
    <w:rsid w:val="00926900"/>
    <w:rsid w:val="009435CA"/>
    <w:rsid w:val="00961C5E"/>
    <w:rsid w:val="00982F3C"/>
    <w:rsid w:val="009843CD"/>
    <w:rsid w:val="00997222"/>
    <w:rsid w:val="009977D8"/>
    <w:rsid w:val="009A1FB2"/>
    <w:rsid w:val="009E307F"/>
    <w:rsid w:val="00A032B6"/>
    <w:rsid w:val="00A25EC4"/>
    <w:rsid w:val="00A42F10"/>
    <w:rsid w:val="00A654E1"/>
    <w:rsid w:val="00A734B6"/>
    <w:rsid w:val="00A73E14"/>
    <w:rsid w:val="00AB326C"/>
    <w:rsid w:val="00AB390D"/>
    <w:rsid w:val="00AC060C"/>
    <w:rsid w:val="00AC6E73"/>
    <w:rsid w:val="00AE51C6"/>
    <w:rsid w:val="00AF591D"/>
    <w:rsid w:val="00B0561A"/>
    <w:rsid w:val="00B40322"/>
    <w:rsid w:val="00B452A2"/>
    <w:rsid w:val="00B63BEE"/>
    <w:rsid w:val="00B8694D"/>
    <w:rsid w:val="00B91DAE"/>
    <w:rsid w:val="00BB1388"/>
    <w:rsid w:val="00BC659F"/>
    <w:rsid w:val="00BE7BA6"/>
    <w:rsid w:val="00C15800"/>
    <w:rsid w:val="00C3734A"/>
    <w:rsid w:val="00C408D1"/>
    <w:rsid w:val="00C43442"/>
    <w:rsid w:val="00C47647"/>
    <w:rsid w:val="00C6096C"/>
    <w:rsid w:val="00C77370"/>
    <w:rsid w:val="00C803CF"/>
    <w:rsid w:val="00C81257"/>
    <w:rsid w:val="00C83A6E"/>
    <w:rsid w:val="00C87125"/>
    <w:rsid w:val="00CA1791"/>
    <w:rsid w:val="00CB46C0"/>
    <w:rsid w:val="00CC1BB6"/>
    <w:rsid w:val="00CC43AA"/>
    <w:rsid w:val="00CD7604"/>
    <w:rsid w:val="00CF14BD"/>
    <w:rsid w:val="00CF2BE5"/>
    <w:rsid w:val="00D232A5"/>
    <w:rsid w:val="00D76BAA"/>
    <w:rsid w:val="00D96E34"/>
    <w:rsid w:val="00DC54C8"/>
    <w:rsid w:val="00E07081"/>
    <w:rsid w:val="00E13F22"/>
    <w:rsid w:val="00E14FFA"/>
    <w:rsid w:val="00E20F24"/>
    <w:rsid w:val="00E265BC"/>
    <w:rsid w:val="00E37FF1"/>
    <w:rsid w:val="00E6678D"/>
    <w:rsid w:val="00E67E5E"/>
    <w:rsid w:val="00E90DB1"/>
    <w:rsid w:val="00E92C98"/>
    <w:rsid w:val="00E975E9"/>
    <w:rsid w:val="00ED67B4"/>
    <w:rsid w:val="00F16008"/>
    <w:rsid w:val="00F253A2"/>
    <w:rsid w:val="00F64381"/>
    <w:rsid w:val="00F72C4D"/>
    <w:rsid w:val="00F87774"/>
    <w:rsid w:val="00FA1399"/>
    <w:rsid w:val="00FA6E55"/>
    <w:rsid w:val="00FB02C2"/>
    <w:rsid w:val="00FB7419"/>
    <w:rsid w:val="00FE1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6FBE"/>
    <w:rPr>
      <w:sz w:val="24"/>
      <w:szCs w:val="24"/>
    </w:rPr>
  </w:style>
  <w:style w:type="paragraph" w:styleId="1">
    <w:name w:val="heading 1"/>
    <w:basedOn w:val="a"/>
    <w:next w:val="a"/>
    <w:link w:val="10"/>
    <w:uiPriority w:val="9"/>
    <w:qFormat/>
    <w:rsid w:val="00912645"/>
    <w:pPr>
      <w:keepNext/>
      <w:keepLines/>
      <w:spacing w:before="240" w:line="256" w:lineRule="auto"/>
      <w:outlineLvl w:val="0"/>
    </w:pPr>
    <w:rPr>
      <w:rFonts w:ascii="Calibri Light" w:hAnsi="Calibri Light"/>
      <w:color w:val="2E74B5"/>
      <w:sz w:val="32"/>
      <w:szCs w:val="32"/>
      <w:lang w:eastAsia="en-US"/>
    </w:rPr>
  </w:style>
  <w:style w:type="paragraph" w:styleId="2">
    <w:name w:val="heading 2"/>
    <w:basedOn w:val="a"/>
    <w:link w:val="20"/>
    <w:uiPriority w:val="9"/>
    <w:qFormat/>
    <w:rsid w:val="00912645"/>
    <w:pPr>
      <w:spacing w:before="100" w:beforeAutospacing="1" w:after="100" w:afterAutospacing="1"/>
      <w:outlineLvl w:val="1"/>
    </w:pPr>
    <w:rPr>
      <w:b/>
      <w:bCs/>
      <w:sz w:val="36"/>
      <w:szCs w:val="36"/>
    </w:rPr>
  </w:style>
  <w:style w:type="paragraph" w:styleId="3">
    <w:name w:val="heading 3"/>
    <w:basedOn w:val="a"/>
    <w:link w:val="30"/>
    <w:uiPriority w:val="9"/>
    <w:qFormat/>
    <w:rsid w:val="0091264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CF3"/>
    <w:rPr>
      <w:rFonts w:ascii="Tahoma" w:hAnsi="Tahoma" w:cs="Tahoma"/>
      <w:sz w:val="16"/>
      <w:szCs w:val="16"/>
    </w:rPr>
  </w:style>
  <w:style w:type="table" w:styleId="a5">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47910"/>
    <w:pPr>
      <w:tabs>
        <w:tab w:val="center" w:pos="4677"/>
        <w:tab w:val="right" w:pos="9355"/>
      </w:tabs>
    </w:pPr>
  </w:style>
  <w:style w:type="character" w:customStyle="1" w:styleId="a7">
    <w:name w:val="Верхний колонтитул Знак"/>
    <w:link w:val="a6"/>
    <w:rsid w:val="00747910"/>
    <w:rPr>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link w:val="a8"/>
    <w:uiPriority w:val="99"/>
    <w:rsid w:val="00747910"/>
    <w:rPr>
      <w:sz w:val="24"/>
      <w:szCs w:val="24"/>
    </w:rPr>
  </w:style>
  <w:style w:type="character" w:styleId="aa">
    <w:name w:val="Hyperlink"/>
    <w:uiPriority w:val="99"/>
    <w:rsid w:val="002D2926"/>
    <w:rPr>
      <w:color w:val="0000FF"/>
      <w:u w:val="single"/>
    </w:rPr>
  </w:style>
  <w:style w:type="paragraph" w:styleId="ab">
    <w:name w:val="Body Text"/>
    <w:basedOn w:val="a"/>
    <w:link w:val="ac"/>
    <w:rsid w:val="00E07081"/>
    <w:pPr>
      <w:jc w:val="center"/>
    </w:pPr>
    <w:rPr>
      <w:szCs w:val="20"/>
    </w:rPr>
  </w:style>
  <w:style w:type="character" w:customStyle="1" w:styleId="ac">
    <w:name w:val="Основной текст Знак"/>
    <w:basedOn w:val="a0"/>
    <w:link w:val="ab"/>
    <w:rsid w:val="00E07081"/>
    <w:rPr>
      <w:sz w:val="24"/>
    </w:rPr>
  </w:style>
  <w:style w:type="character" w:customStyle="1" w:styleId="21">
    <w:name w:val="Основной текст (2)_"/>
    <w:basedOn w:val="a0"/>
    <w:link w:val="22"/>
    <w:uiPriority w:val="99"/>
    <w:locked/>
    <w:rsid w:val="00E07081"/>
    <w:rPr>
      <w:b/>
      <w:bCs/>
      <w:sz w:val="22"/>
      <w:szCs w:val="22"/>
      <w:shd w:val="clear" w:color="auto" w:fill="FFFFFF"/>
    </w:rPr>
  </w:style>
  <w:style w:type="paragraph" w:customStyle="1" w:styleId="22">
    <w:name w:val="Основной текст (2)"/>
    <w:basedOn w:val="a"/>
    <w:link w:val="21"/>
    <w:uiPriority w:val="99"/>
    <w:rsid w:val="00E07081"/>
    <w:pPr>
      <w:widowControl w:val="0"/>
      <w:shd w:val="clear" w:color="auto" w:fill="FFFFFF"/>
      <w:spacing w:after="600" w:line="240" w:lineRule="atLeast"/>
      <w:jc w:val="center"/>
    </w:pPr>
    <w:rPr>
      <w:b/>
      <w:bCs/>
      <w:sz w:val="22"/>
      <w:szCs w:val="22"/>
    </w:rPr>
  </w:style>
  <w:style w:type="character" w:customStyle="1" w:styleId="Exact">
    <w:name w:val="Основной текст Exact"/>
    <w:basedOn w:val="a0"/>
    <w:uiPriority w:val="99"/>
    <w:rsid w:val="00E07081"/>
    <w:rPr>
      <w:rFonts w:ascii="Times New Roman" w:hAnsi="Times New Roman" w:cs="Times New Roman" w:hint="default"/>
      <w:strike w:val="0"/>
      <w:dstrike w:val="0"/>
      <w:spacing w:val="4"/>
      <w:sz w:val="21"/>
      <w:szCs w:val="21"/>
      <w:u w:val="none"/>
      <w:effect w:val="none"/>
    </w:rPr>
  </w:style>
  <w:style w:type="paragraph" w:styleId="ad">
    <w:name w:val="Normal (Web)"/>
    <w:basedOn w:val="a"/>
    <w:uiPriority w:val="99"/>
    <w:unhideWhenUsed/>
    <w:rsid w:val="00E07081"/>
    <w:pPr>
      <w:spacing w:before="100" w:beforeAutospacing="1" w:after="100" w:afterAutospacing="1"/>
    </w:pPr>
  </w:style>
  <w:style w:type="paragraph" w:customStyle="1" w:styleId="ConsPlusNormal">
    <w:name w:val="ConsPlusNormal"/>
    <w:rsid w:val="00E07081"/>
    <w:pPr>
      <w:widowControl w:val="0"/>
      <w:autoSpaceDE w:val="0"/>
      <w:autoSpaceDN w:val="0"/>
      <w:adjustRightInd w:val="0"/>
    </w:pPr>
    <w:rPr>
      <w:rFonts w:ascii="Arial" w:hAnsi="Arial" w:cs="Arial"/>
    </w:rPr>
  </w:style>
  <w:style w:type="paragraph" w:styleId="ae">
    <w:name w:val="Body Text Indent"/>
    <w:basedOn w:val="a"/>
    <w:link w:val="af"/>
    <w:rsid w:val="00183632"/>
    <w:pPr>
      <w:spacing w:after="120"/>
      <w:ind w:left="283"/>
    </w:pPr>
  </w:style>
  <w:style w:type="character" w:customStyle="1" w:styleId="af">
    <w:name w:val="Основной текст с отступом Знак"/>
    <w:basedOn w:val="a0"/>
    <w:link w:val="ae"/>
    <w:rsid w:val="00183632"/>
    <w:rPr>
      <w:sz w:val="24"/>
      <w:szCs w:val="24"/>
    </w:rPr>
  </w:style>
  <w:style w:type="paragraph" w:styleId="23">
    <w:name w:val="Body Text 2"/>
    <w:basedOn w:val="a"/>
    <w:link w:val="24"/>
    <w:rsid w:val="00C803CF"/>
    <w:pPr>
      <w:spacing w:after="120" w:line="480" w:lineRule="auto"/>
    </w:pPr>
  </w:style>
  <w:style w:type="character" w:customStyle="1" w:styleId="24">
    <w:name w:val="Основной текст 2 Знак"/>
    <w:basedOn w:val="a0"/>
    <w:link w:val="23"/>
    <w:rsid w:val="00C803CF"/>
    <w:rPr>
      <w:sz w:val="24"/>
      <w:szCs w:val="24"/>
    </w:rPr>
  </w:style>
  <w:style w:type="character" w:customStyle="1" w:styleId="10">
    <w:name w:val="Заголовок 1 Знак"/>
    <w:basedOn w:val="a0"/>
    <w:link w:val="1"/>
    <w:uiPriority w:val="9"/>
    <w:rsid w:val="00912645"/>
    <w:rPr>
      <w:rFonts w:ascii="Calibri Light" w:hAnsi="Calibri Light"/>
      <w:color w:val="2E74B5"/>
      <w:sz w:val="32"/>
      <w:szCs w:val="32"/>
      <w:lang w:eastAsia="en-US"/>
    </w:rPr>
  </w:style>
  <w:style w:type="character" w:customStyle="1" w:styleId="20">
    <w:name w:val="Заголовок 2 Знак"/>
    <w:basedOn w:val="a0"/>
    <w:link w:val="2"/>
    <w:uiPriority w:val="9"/>
    <w:rsid w:val="00912645"/>
    <w:rPr>
      <w:b/>
      <w:bCs/>
      <w:sz w:val="36"/>
      <w:szCs w:val="36"/>
    </w:rPr>
  </w:style>
  <w:style w:type="character" w:customStyle="1" w:styleId="30">
    <w:name w:val="Заголовок 3 Знак"/>
    <w:basedOn w:val="a0"/>
    <w:link w:val="3"/>
    <w:uiPriority w:val="9"/>
    <w:rsid w:val="00912645"/>
    <w:rPr>
      <w:b/>
      <w:bCs/>
      <w:sz w:val="27"/>
      <w:szCs w:val="27"/>
    </w:rPr>
  </w:style>
  <w:style w:type="character" w:customStyle="1" w:styleId="apple-converted-space">
    <w:name w:val="apple-converted-space"/>
    <w:basedOn w:val="a0"/>
    <w:rsid w:val="00912645"/>
  </w:style>
  <w:style w:type="character" w:customStyle="1" w:styleId="FontStyle11">
    <w:name w:val="Font Style11"/>
    <w:rsid w:val="00912645"/>
    <w:rPr>
      <w:rFonts w:ascii="Times New Roman" w:hAnsi="Times New Roman" w:cs="Times New Roman"/>
      <w:b/>
      <w:bCs/>
      <w:i/>
      <w:iCs/>
      <w:sz w:val="18"/>
      <w:szCs w:val="18"/>
    </w:rPr>
  </w:style>
  <w:style w:type="paragraph" w:styleId="af0">
    <w:name w:val="List Paragraph"/>
    <w:basedOn w:val="a"/>
    <w:uiPriority w:val="34"/>
    <w:qFormat/>
    <w:rsid w:val="00912645"/>
    <w:pPr>
      <w:spacing w:after="160" w:line="259" w:lineRule="auto"/>
      <w:ind w:left="720"/>
      <w:contextualSpacing/>
    </w:pPr>
    <w:rPr>
      <w:rFonts w:ascii="Calibri" w:eastAsia="Calibri" w:hAnsi="Calibri"/>
      <w:sz w:val="22"/>
      <w:szCs w:val="22"/>
      <w:lang w:eastAsia="en-US"/>
    </w:rPr>
  </w:style>
  <w:style w:type="character" w:customStyle="1" w:styleId="a4">
    <w:name w:val="Текст выноски Знак"/>
    <w:basedOn w:val="a0"/>
    <w:link w:val="a3"/>
    <w:uiPriority w:val="99"/>
    <w:semiHidden/>
    <w:rsid w:val="00912645"/>
    <w:rPr>
      <w:rFonts w:ascii="Tahoma" w:hAnsi="Tahoma" w:cs="Tahoma"/>
      <w:sz w:val="16"/>
      <w:szCs w:val="16"/>
    </w:rPr>
  </w:style>
  <w:style w:type="character" w:styleId="af1">
    <w:name w:val="annotation reference"/>
    <w:basedOn w:val="a0"/>
    <w:uiPriority w:val="99"/>
    <w:unhideWhenUsed/>
    <w:rsid w:val="00912645"/>
    <w:rPr>
      <w:sz w:val="16"/>
      <w:szCs w:val="16"/>
    </w:rPr>
  </w:style>
  <w:style w:type="paragraph" w:styleId="af2">
    <w:name w:val="annotation text"/>
    <w:basedOn w:val="a"/>
    <w:link w:val="af3"/>
    <w:uiPriority w:val="99"/>
    <w:unhideWhenUsed/>
    <w:rsid w:val="00912645"/>
    <w:pPr>
      <w:spacing w:after="160"/>
    </w:pPr>
    <w:rPr>
      <w:rFonts w:ascii="Calibri" w:eastAsia="Calibri" w:hAnsi="Calibri"/>
      <w:sz w:val="20"/>
      <w:szCs w:val="20"/>
      <w:lang w:eastAsia="en-US"/>
    </w:rPr>
  </w:style>
  <w:style w:type="character" w:customStyle="1" w:styleId="af3">
    <w:name w:val="Текст примечания Знак"/>
    <w:basedOn w:val="a0"/>
    <w:link w:val="af2"/>
    <w:uiPriority w:val="99"/>
    <w:rsid w:val="00912645"/>
    <w:rPr>
      <w:rFonts w:ascii="Calibri" w:eastAsia="Calibri" w:hAnsi="Calibri" w:cs="Times New Roman"/>
      <w:lang w:eastAsia="en-US"/>
    </w:rPr>
  </w:style>
  <w:style w:type="paragraph" w:styleId="af4">
    <w:name w:val="annotation subject"/>
    <w:basedOn w:val="af2"/>
    <w:next w:val="af2"/>
    <w:link w:val="af5"/>
    <w:uiPriority w:val="99"/>
    <w:unhideWhenUsed/>
    <w:rsid w:val="00912645"/>
    <w:rPr>
      <w:b/>
      <w:bCs/>
    </w:rPr>
  </w:style>
  <w:style w:type="character" w:customStyle="1" w:styleId="af5">
    <w:name w:val="Тема примечания Знак"/>
    <w:basedOn w:val="af3"/>
    <w:link w:val="af4"/>
    <w:uiPriority w:val="99"/>
    <w:rsid w:val="00912645"/>
    <w:rPr>
      <w:b/>
      <w:bCs/>
    </w:rPr>
  </w:style>
  <w:style w:type="paragraph" w:styleId="af6">
    <w:name w:val="footnote text"/>
    <w:basedOn w:val="a"/>
    <w:link w:val="af7"/>
    <w:uiPriority w:val="99"/>
    <w:unhideWhenUsed/>
    <w:rsid w:val="00912645"/>
    <w:rPr>
      <w:rFonts w:ascii="Calibri" w:eastAsia="Calibri" w:hAnsi="Calibri"/>
      <w:sz w:val="20"/>
      <w:szCs w:val="20"/>
      <w:lang w:eastAsia="en-US"/>
    </w:rPr>
  </w:style>
  <w:style w:type="character" w:customStyle="1" w:styleId="af7">
    <w:name w:val="Текст сноски Знак"/>
    <w:basedOn w:val="a0"/>
    <w:link w:val="af6"/>
    <w:uiPriority w:val="99"/>
    <w:rsid w:val="00912645"/>
    <w:rPr>
      <w:rFonts w:ascii="Calibri" w:eastAsia="Calibri" w:hAnsi="Calibri"/>
      <w:lang w:eastAsia="en-US"/>
    </w:rPr>
  </w:style>
  <w:style w:type="paragraph" w:styleId="af8">
    <w:name w:val="endnote text"/>
    <w:basedOn w:val="a"/>
    <w:link w:val="af9"/>
    <w:uiPriority w:val="99"/>
    <w:unhideWhenUsed/>
    <w:rsid w:val="00912645"/>
    <w:rPr>
      <w:rFonts w:ascii="Calibri" w:eastAsia="Calibri" w:hAnsi="Calibri"/>
      <w:sz w:val="20"/>
      <w:szCs w:val="20"/>
      <w:lang w:eastAsia="en-US"/>
    </w:rPr>
  </w:style>
  <w:style w:type="character" w:customStyle="1" w:styleId="af9">
    <w:name w:val="Текст концевой сноски Знак"/>
    <w:basedOn w:val="a0"/>
    <w:link w:val="af8"/>
    <w:uiPriority w:val="99"/>
    <w:rsid w:val="00912645"/>
    <w:rPr>
      <w:rFonts w:ascii="Calibri" w:eastAsia="Calibri" w:hAnsi="Calibri"/>
      <w:lang w:eastAsia="en-US"/>
    </w:rPr>
  </w:style>
  <w:style w:type="character" w:customStyle="1" w:styleId="blk">
    <w:name w:val="blk"/>
    <w:basedOn w:val="a0"/>
    <w:rsid w:val="00912645"/>
  </w:style>
  <w:style w:type="paragraph" w:styleId="afa">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1, Знак, Знак Знак"/>
    <w:basedOn w:val="a"/>
    <w:link w:val="25"/>
    <w:rsid w:val="006C7BF9"/>
    <w:rPr>
      <w:rFonts w:ascii="Courier New" w:hAnsi="Courier New" w:cs="Courier New"/>
      <w:sz w:val="20"/>
      <w:szCs w:val="20"/>
    </w:rPr>
  </w:style>
  <w:style w:type="character" w:customStyle="1" w:styleId="afb">
    <w:name w:val="Текст Знак"/>
    <w:basedOn w:val="a0"/>
    <w:link w:val="afa"/>
    <w:rsid w:val="006C7BF9"/>
    <w:rPr>
      <w:rFonts w:ascii="Courier New" w:hAnsi="Courier New" w:cs="Courier New"/>
    </w:rPr>
  </w:style>
  <w:style w:type="character" w:customStyle="1" w:styleId="25">
    <w:name w:val="Текст Знак2"/>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1 Знак1"/>
    <w:basedOn w:val="a0"/>
    <w:link w:val="afa"/>
    <w:rsid w:val="006C7BF9"/>
    <w:rPr>
      <w:rFonts w:ascii="Courier New" w:hAnsi="Courier New" w:cs="Courier New"/>
    </w:rPr>
  </w:style>
  <w:style w:type="character" w:customStyle="1" w:styleId="11">
    <w:name w:val="Знак Знак1"/>
    <w:aliases w:val="Текст Знак2 Знак,Знак Знак Знак Знак Знак Знак,Знак Знак Знак Знак1 Знак, Знак Знак Знак,Знак Знак Знак,Текст Знак1 Знак1 Знак, Знак Знак1"/>
    <w:basedOn w:val="a0"/>
    <w:rsid w:val="009E307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51382372">
      <w:bodyDiv w:val="1"/>
      <w:marLeft w:val="0"/>
      <w:marRight w:val="0"/>
      <w:marTop w:val="0"/>
      <w:marBottom w:val="0"/>
      <w:divBdr>
        <w:top w:val="none" w:sz="0" w:space="0" w:color="auto"/>
        <w:left w:val="none" w:sz="0" w:space="0" w:color="auto"/>
        <w:bottom w:val="none" w:sz="0" w:space="0" w:color="auto"/>
        <w:right w:val="none" w:sz="0" w:space="0" w:color="auto"/>
      </w:divBdr>
    </w:div>
    <w:div w:id="91914436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744</Words>
  <Characters>5097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Елена А. Кушко</cp:lastModifiedBy>
  <cp:revision>8</cp:revision>
  <cp:lastPrinted>2018-08-08T10:41:00Z</cp:lastPrinted>
  <dcterms:created xsi:type="dcterms:W3CDTF">2018-08-08T09:00:00Z</dcterms:created>
  <dcterms:modified xsi:type="dcterms:W3CDTF">2018-08-08T10:49:00Z</dcterms:modified>
</cp:coreProperties>
</file>