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A63BD3" w:rsidRPr="006210F2" w:rsidTr="007656E2">
        <w:trPr>
          <w:trHeight w:val="259"/>
        </w:trPr>
        <w:tc>
          <w:tcPr>
            <w:tcW w:w="3969" w:type="dxa"/>
          </w:tcPr>
          <w:p w:rsidR="00A63BD3" w:rsidRPr="003C68C3" w:rsidRDefault="00A63BD3" w:rsidP="007656E2">
            <w:pPr>
              <w:spacing w:after="0" w:line="240" w:lineRule="auto"/>
              <w:rPr>
                <w:rFonts w:ascii="Times New Roman" w:hAnsi="Times New Roman"/>
                <w:bCs/>
                <w:sz w:val="20"/>
                <w:szCs w:val="20"/>
              </w:rPr>
            </w:pPr>
            <w:r w:rsidRPr="003C68C3">
              <w:rPr>
                <w:rFonts w:ascii="Times New Roman" w:hAnsi="Times New Roman"/>
                <w:sz w:val="20"/>
                <w:szCs w:val="20"/>
              </w:rPr>
              <w:t xml:space="preserve">исх. № </w:t>
            </w:r>
            <w:r w:rsidRPr="003C68C3">
              <w:rPr>
                <w:rFonts w:ascii="Times New Roman" w:hAnsi="Times New Roman"/>
                <w:bCs/>
                <w:sz w:val="20"/>
                <w:szCs w:val="20"/>
              </w:rPr>
              <w:t>______________________</w:t>
            </w:r>
          </w:p>
        </w:tc>
      </w:tr>
      <w:tr w:rsidR="00A63BD3" w:rsidRPr="006210F2" w:rsidTr="007656E2">
        <w:tc>
          <w:tcPr>
            <w:tcW w:w="3969" w:type="dxa"/>
          </w:tcPr>
          <w:p w:rsidR="00A63BD3" w:rsidRPr="003C68C3" w:rsidRDefault="00A63BD3" w:rsidP="007656E2">
            <w:pPr>
              <w:spacing w:after="0" w:line="240" w:lineRule="auto"/>
              <w:rPr>
                <w:rFonts w:ascii="Times New Roman" w:hAnsi="Times New Roman"/>
                <w:bCs/>
                <w:sz w:val="4"/>
                <w:szCs w:val="4"/>
              </w:rPr>
            </w:pPr>
            <w:r w:rsidRPr="003C68C3">
              <w:rPr>
                <w:rFonts w:ascii="Times New Roman" w:hAnsi="Times New Roman"/>
                <w:bCs/>
                <w:sz w:val="4"/>
                <w:szCs w:val="4"/>
              </w:rPr>
              <w:t xml:space="preserve">   </w:t>
            </w:r>
          </w:p>
        </w:tc>
      </w:tr>
      <w:tr w:rsidR="00A63BD3" w:rsidRPr="006210F2" w:rsidTr="007656E2">
        <w:tc>
          <w:tcPr>
            <w:tcW w:w="3969" w:type="dxa"/>
          </w:tcPr>
          <w:p w:rsidR="00A63BD3" w:rsidRPr="003C68C3" w:rsidRDefault="00A63BD3" w:rsidP="007656E2">
            <w:pPr>
              <w:spacing w:after="0" w:line="240" w:lineRule="auto"/>
              <w:rPr>
                <w:rFonts w:ascii="Times New Roman" w:hAnsi="Times New Roman"/>
                <w:b/>
                <w:bCs/>
                <w:sz w:val="20"/>
                <w:szCs w:val="20"/>
              </w:rPr>
            </w:pPr>
            <w:r w:rsidRPr="003C68C3">
              <w:rPr>
                <w:rFonts w:ascii="Times New Roman" w:hAnsi="Times New Roman"/>
                <w:bCs/>
                <w:sz w:val="20"/>
                <w:szCs w:val="20"/>
              </w:rPr>
              <w:t xml:space="preserve">от </w:t>
            </w:r>
            <w:r w:rsidRPr="003C68C3">
              <w:rPr>
                <w:rFonts w:ascii="Times New Roman" w:hAnsi="Times New Roman"/>
                <w:sz w:val="24"/>
                <w:szCs w:val="24"/>
              </w:rPr>
              <w:t>«</w:t>
            </w:r>
            <w:r w:rsidRPr="003C68C3">
              <w:rPr>
                <w:rFonts w:ascii="Times New Roman" w:hAnsi="Times New Roman"/>
                <w:sz w:val="24"/>
                <w:szCs w:val="24"/>
                <w:lang w:val="en-US"/>
              </w:rPr>
              <w:t>___</w:t>
            </w:r>
            <w:r w:rsidRPr="003C68C3">
              <w:rPr>
                <w:rFonts w:ascii="Times New Roman" w:hAnsi="Times New Roman"/>
                <w:sz w:val="24"/>
                <w:szCs w:val="24"/>
              </w:rPr>
              <w:t>»</w:t>
            </w:r>
            <w:r w:rsidRPr="003C68C3">
              <w:rPr>
                <w:rFonts w:ascii="Times New Roman" w:hAnsi="Times New Roman"/>
                <w:b/>
                <w:bCs/>
                <w:sz w:val="20"/>
                <w:szCs w:val="20"/>
              </w:rPr>
              <w:t xml:space="preserve">_____________ </w:t>
            </w:r>
            <w:r w:rsidRPr="003C68C3">
              <w:rPr>
                <w:rFonts w:ascii="Times New Roman" w:hAnsi="Times New Roman"/>
                <w:bCs/>
                <w:sz w:val="20"/>
                <w:szCs w:val="20"/>
              </w:rPr>
              <w:t>20____г.</w:t>
            </w:r>
          </w:p>
        </w:tc>
      </w:tr>
    </w:tbl>
    <w:p w:rsidR="00A63BD3" w:rsidRPr="003C68C3" w:rsidRDefault="00A63BD3" w:rsidP="004726A5">
      <w:pPr>
        <w:spacing w:after="0" w:line="240" w:lineRule="auto"/>
        <w:rPr>
          <w:rFonts w:ascii="Times New Roman" w:hAnsi="Times New Roman"/>
          <w:vanish/>
          <w:sz w:val="24"/>
          <w:szCs w:val="24"/>
        </w:rPr>
      </w:pPr>
    </w:p>
    <w:tbl>
      <w:tblPr>
        <w:tblpPr w:leftFromText="180" w:rightFromText="180" w:vertAnchor="text" w:horzAnchor="margin" w:tblpXSpec="right" w:tblpY="-1024"/>
        <w:tblW w:w="0" w:type="auto"/>
        <w:tblLook w:val="01E0"/>
      </w:tblPr>
      <w:tblGrid>
        <w:gridCol w:w="3888"/>
      </w:tblGrid>
      <w:tr w:rsidR="00A63BD3" w:rsidRPr="006210F2" w:rsidTr="007656E2">
        <w:trPr>
          <w:trHeight w:val="342"/>
        </w:trPr>
        <w:tc>
          <w:tcPr>
            <w:tcW w:w="3888" w:type="dxa"/>
          </w:tcPr>
          <w:p w:rsidR="00A63BD3" w:rsidRPr="003C68C3" w:rsidRDefault="00A63BD3" w:rsidP="007656E2">
            <w:pPr>
              <w:spacing w:after="0" w:line="240" w:lineRule="auto"/>
              <w:jc w:val="right"/>
              <w:rPr>
                <w:rFonts w:ascii="Times New Roman" w:hAnsi="Times New Roman"/>
                <w:color w:val="000000"/>
                <w:sz w:val="20"/>
                <w:szCs w:val="20"/>
              </w:rPr>
            </w:pPr>
          </w:p>
        </w:tc>
      </w:tr>
    </w:tbl>
    <w:p w:rsidR="00A63BD3" w:rsidRPr="003C68C3" w:rsidRDefault="00A63BD3" w:rsidP="004726A5">
      <w:pPr>
        <w:spacing w:after="0" w:line="240" w:lineRule="auto"/>
        <w:jc w:val="center"/>
        <w:rPr>
          <w:rFonts w:ascii="Times New Roman" w:hAnsi="Times New Roman"/>
          <w:b/>
          <w:color w:val="5F5F5F"/>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6" type="#_x0000_t75" alt="герб" style="position:absolute;left:0;text-align:left;margin-left:3in;margin-top:-53.8pt;width:77.7pt;height:78.4pt;z-index:-251658240;visibility:visible;mso-position-horizontal-relative:text;mso-position-vertical-relative:text">
            <v:imagedata r:id="rId4" o:title="" gain="68267f"/>
          </v:shape>
        </w:pict>
      </w:r>
    </w:p>
    <w:p w:rsidR="00A63BD3" w:rsidRPr="003C68C3" w:rsidRDefault="00A63BD3" w:rsidP="004726A5">
      <w:pPr>
        <w:spacing w:after="0" w:line="240" w:lineRule="auto"/>
        <w:jc w:val="center"/>
        <w:rPr>
          <w:rFonts w:ascii="Times New Roman" w:hAnsi="Times New Roman"/>
          <w:b/>
          <w:color w:val="5F5F5F"/>
          <w:sz w:val="18"/>
          <w:szCs w:val="18"/>
        </w:rPr>
      </w:pPr>
    </w:p>
    <w:p w:rsidR="00A63BD3" w:rsidRPr="003C68C3" w:rsidRDefault="00A63BD3" w:rsidP="004726A5">
      <w:pPr>
        <w:spacing w:after="0" w:line="240" w:lineRule="auto"/>
        <w:jc w:val="center"/>
        <w:rPr>
          <w:rFonts w:ascii="Times New Roman" w:hAnsi="Times New Roman"/>
          <w:b/>
          <w:color w:val="5F5F5F"/>
          <w:sz w:val="16"/>
          <w:szCs w:val="16"/>
        </w:rPr>
      </w:pPr>
      <w:r w:rsidRPr="003C68C3">
        <w:rPr>
          <w:rFonts w:ascii="Times New Roman" w:hAnsi="Times New Roman"/>
          <w:b/>
          <w:color w:val="5F5F5F"/>
          <w:sz w:val="16"/>
          <w:szCs w:val="16"/>
        </w:rPr>
        <w:t xml:space="preserve"> </w:t>
      </w:r>
    </w:p>
    <w:p w:rsidR="00A63BD3" w:rsidRPr="003C68C3" w:rsidRDefault="00A63BD3" w:rsidP="004726A5">
      <w:pPr>
        <w:spacing w:after="0" w:line="240" w:lineRule="auto"/>
        <w:jc w:val="center"/>
        <w:rPr>
          <w:rFonts w:ascii="Times New Roman" w:hAnsi="Times New Roman"/>
          <w:b/>
          <w:sz w:val="28"/>
          <w:szCs w:val="28"/>
        </w:rPr>
      </w:pPr>
      <w:r w:rsidRPr="003C68C3">
        <w:rPr>
          <w:rFonts w:ascii="Times New Roman" w:hAnsi="Times New Roman"/>
          <w:b/>
          <w:sz w:val="28"/>
          <w:szCs w:val="28"/>
        </w:rPr>
        <w:t>АРБИТРАЖНЫЙ СУД</w:t>
      </w:r>
    </w:p>
    <w:p w:rsidR="00A63BD3" w:rsidRPr="003C68C3" w:rsidRDefault="00A63BD3" w:rsidP="004726A5">
      <w:pPr>
        <w:spacing w:after="0" w:line="240" w:lineRule="auto"/>
        <w:jc w:val="center"/>
        <w:rPr>
          <w:rFonts w:ascii="Times New Roman" w:hAnsi="Times New Roman"/>
          <w:b/>
          <w:sz w:val="28"/>
          <w:szCs w:val="28"/>
        </w:rPr>
      </w:pPr>
      <w:r w:rsidRPr="003C68C3">
        <w:rPr>
          <w:rFonts w:ascii="Times New Roman" w:hAnsi="Times New Roman"/>
          <w:b/>
          <w:sz w:val="28"/>
          <w:szCs w:val="28"/>
        </w:rPr>
        <w:t>ПРИДНЕСТРОВСКОЙ МОЛДАВСКОЙ РЕСПУБЛИКИ</w:t>
      </w:r>
    </w:p>
    <w:p w:rsidR="00A63BD3" w:rsidRPr="003C68C3" w:rsidRDefault="00A63BD3" w:rsidP="004726A5">
      <w:pPr>
        <w:spacing w:after="0" w:line="240" w:lineRule="auto"/>
        <w:ind w:left="-181"/>
        <w:jc w:val="center"/>
        <w:rPr>
          <w:rFonts w:ascii="Times New Roman" w:hAnsi="Times New Roman"/>
          <w:sz w:val="20"/>
          <w:szCs w:val="20"/>
        </w:rPr>
      </w:pPr>
    </w:p>
    <w:p w:rsidR="00A63BD3" w:rsidRPr="003C68C3" w:rsidRDefault="00A63BD3" w:rsidP="004726A5">
      <w:pPr>
        <w:spacing w:after="0" w:line="240" w:lineRule="auto"/>
        <w:ind w:left="-181"/>
        <w:jc w:val="center"/>
        <w:rPr>
          <w:rFonts w:ascii="Times New Roman" w:hAnsi="Times New Roman"/>
          <w:sz w:val="20"/>
          <w:szCs w:val="20"/>
        </w:rPr>
      </w:pPr>
      <w:smartTag w:uri="urn:schemas-microsoft-com:office:smarttags" w:element="metricconverter">
        <w:smartTagPr>
          <w:attr w:name="ProductID" w:val="3300, г"/>
        </w:smartTagPr>
        <w:r w:rsidRPr="003C68C3">
          <w:rPr>
            <w:rFonts w:ascii="Times New Roman" w:hAnsi="Times New Roman"/>
            <w:sz w:val="20"/>
            <w:szCs w:val="20"/>
          </w:rPr>
          <w:t>3300, г</w:t>
        </w:r>
      </w:smartTag>
      <w:r w:rsidRPr="003C68C3">
        <w:rPr>
          <w:rFonts w:ascii="Times New Roman" w:hAnsi="Times New Roman"/>
          <w:sz w:val="20"/>
          <w:szCs w:val="20"/>
        </w:rPr>
        <w:t>.Тирасполь, ул. Ленина, 1/2. Тел. 7-70-47, 7-42-07</w:t>
      </w:r>
    </w:p>
    <w:p w:rsidR="00A63BD3" w:rsidRPr="003C68C3" w:rsidRDefault="00A63BD3" w:rsidP="004726A5">
      <w:pPr>
        <w:spacing w:after="0" w:line="240" w:lineRule="auto"/>
        <w:ind w:left="-181"/>
        <w:jc w:val="center"/>
        <w:rPr>
          <w:rFonts w:ascii="Times New Roman" w:hAnsi="Times New Roman"/>
          <w:sz w:val="20"/>
          <w:szCs w:val="20"/>
        </w:rPr>
      </w:pPr>
      <w:r w:rsidRPr="003C68C3">
        <w:rPr>
          <w:rFonts w:ascii="Times New Roman" w:hAnsi="Times New Roman"/>
          <w:sz w:val="20"/>
          <w:szCs w:val="20"/>
        </w:rPr>
        <w:t>Официальный сайт: www.</w:t>
      </w:r>
      <w:r w:rsidRPr="003C68C3">
        <w:rPr>
          <w:rFonts w:ascii="Times New Roman" w:hAnsi="Times New Roman"/>
          <w:sz w:val="20"/>
          <w:szCs w:val="20"/>
          <w:lang w:val="en-US"/>
        </w:rPr>
        <w:t>arbitr</w:t>
      </w:r>
      <w:r w:rsidRPr="003C68C3">
        <w:rPr>
          <w:rFonts w:ascii="Times New Roman" w:hAnsi="Times New Roman"/>
          <w:sz w:val="20"/>
          <w:szCs w:val="20"/>
        </w:rPr>
        <w:t>.gospmr.</w:t>
      </w:r>
      <w:r w:rsidRPr="003C68C3">
        <w:rPr>
          <w:rFonts w:ascii="Times New Roman" w:hAnsi="Times New Roman"/>
          <w:sz w:val="20"/>
          <w:szCs w:val="20"/>
          <w:lang w:val="en-US"/>
        </w:rPr>
        <w:t>org</w:t>
      </w:r>
    </w:p>
    <w:p w:rsidR="00A63BD3" w:rsidRPr="003C68C3" w:rsidRDefault="00A63BD3" w:rsidP="004726A5">
      <w:pPr>
        <w:spacing w:after="0" w:line="240" w:lineRule="auto"/>
        <w:ind w:left="-181"/>
        <w:jc w:val="center"/>
        <w:rPr>
          <w:rFonts w:ascii="Times New Roman" w:hAnsi="Times New Roman"/>
          <w:color w:val="5F5F5F"/>
          <w:sz w:val="12"/>
          <w:szCs w:val="12"/>
        </w:rPr>
      </w:pPr>
    </w:p>
    <w:p w:rsidR="00A63BD3" w:rsidRPr="003C68C3" w:rsidRDefault="00A63BD3" w:rsidP="004726A5">
      <w:pPr>
        <w:spacing w:after="0" w:line="240" w:lineRule="auto"/>
        <w:ind w:left="-181"/>
        <w:jc w:val="center"/>
        <w:rPr>
          <w:rFonts w:ascii="Times New Roman" w:hAnsi="Times New Roman"/>
          <w:b/>
          <w:sz w:val="28"/>
          <w:szCs w:val="28"/>
          <w:u w:val="single"/>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59264" o:connectortype="straight" strokeweight="2pt"/>
        </w:pict>
      </w:r>
      <w:r>
        <w:rPr>
          <w:noProof/>
        </w:rPr>
        <w:pict>
          <v:shape id="_x0000_s1028" type="#_x0000_t32" style="position:absolute;left:0;text-align:left;margin-left:11.55pt;margin-top:4.5pt;width:480.45pt;height:0;z-index:251660288" o:connectortype="straight" strokeweight=".5pt"/>
        </w:pict>
      </w:r>
    </w:p>
    <w:p w:rsidR="00A63BD3" w:rsidRPr="003C68C3" w:rsidRDefault="00A63BD3" w:rsidP="004726A5">
      <w:pPr>
        <w:spacing w:after="0" w:line="240" w:lineRule="auto"/>
        <w:ind w:left="-181"/>
        <w:jc w:val="center"/>
        <w:rPr>
          <w:rFonts w:ascii="Times New Roman" w:hAnsi="Times New Roman"/>
          <w:b/>
          <w:sz w:val="24"/>
          <w:szCs w:val="24"/>
        </w:rPr>
      </w:pPr>
      <w:r w:rsidRPr="003C68C3">
        <w:rPr>
          <w:rFonts w:ascii="Times New Roman" w:hAnsi="Times New Roman"/>
          <w:b/>
          <w:sz w:val="24"/>
          <w:szCs w:val="24"/>
        </w:rPr>
        <w:t>О П Р Е Д Е Л Е Н И Е</w:t>
      </w:r>
    </w:p>
    <w:p w:rsidR="00A63BD3" w:rsidRDefault="00A63BD3" w:rsidP="004726A5">
      <w:pPr>
        <w:spacing w:after="0" w:line="240" w:lineRule="auto"/>
        <w:ind w:left="-181"/>
        <w:jc w:val="center"/>
        <w:rPr>
          <w:rFonts w:ascii="Times New Roman" w:hAnsi="Times New Roman"/>
          <w:b/>
          <w:sz w:val="24"/>
          <w:szCs w:val="24"/>
        </w:rPr>
      </w:pPr>
      <w:r>
        <w:rPr>
          <w:rFonts w:ascii="Times New Roman" w:hAnsi="Times New Roman"/>
          <w:b/>
          <w:sz w:val="24"/>
          <w:szCs w:val="24"/>
        </w:rPr>
        <w:t>Об отказе в принятии обеспечительных мер</w:t>
      </w:r>
    </w:p>
    <w:p w:rsidR="00A63BD3" w:rsidRPr="0057741B" w:rsidRDefault="00A63BD3" w:rsidP="004726A5">
      <w:pPr>
        <w:spacing w:after="0" w:line="240" w:lineRule="auto"/>
        <w:ind w:left="-181"/>
        <w:jc w:val="center"/>
        <w:rPr>
          <w:rFonts w:ascii="Times New Roman" w:hAnsi="Times New Roman"/>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A63BD3" w:rsidRPr="006210F2" w:rsidTr="007656E2">
        <w:trPr>
          <w:trHeight w:val="259"/>
        </w:trPr>
        <w:tc>
          <w:tcPr>
            <w:tcW w:w="4956" w:type="dxa"/>
            <w:gridSpan w:val="7"/>
          </w:tcPr>
          <w:p w:rsidR="00A63BD3" w:rsidRPr="003C68C3" w:rsidRDefault="00A63BD3" w:rsidP="007656E2">
            <w:pPr>
              <w:spacing w:after="0" w:line="240" w:lineRule="auto"/>
              <w:rPr>
                <w:rFonts w:ascii="Times New Roman" w:hAnsi="Times New Roman"/>
                <w:bCs/>
                <w:sz w:val="24"/>
                <w:szCs w:val="24"/>
                <w:u w:val="single"/>
              </w:rPr>
            </w:pPr>
            <w:r>
              <w:rPr>
                <w:rFonts w:ascii="Times New Roman" w:hAnsi="Times New Roman"/>
                <w:sz w:val="24"/>
                <w:szCs w:val="24"/>
                <w:u w:val="single"/>
              </w:rPr>
              <w:t xml:space="preserve">« 07 </w:t>
            </w:r>
            <w:r w:rsidRPr="003C68C3">
              <w:rPr>
                <w:rFonts w:ascii="Times New Roman" w:hAnsi="Times New Roman"/>
                <w:sz w:val="24"/>
                <w:szCs w:val="24"/>
                <w:u w:val="single"/>
              </w:rPr>
              <w:t>»</w:t>
            </w:r>
            <w:r w:rsidRPr="003C68C3">
              <w:rPr>
                <w:rFonts w:ascii="Times New Roman" w:hAnsi="Times New Roman"/>
                <w:bCs/>
                <w:sz w:val="24"/>
                <w:szCs w:val="24"/>
                <w:u w:val="single"/>
              </w:rPr>
              <w:t xml:space="preserve">  </w:t>
            </w:r>
            <w:r>
              <w:rPr>
                <w:rFonts w:ascii="Times New Roman" w:hAnsi="Times New Roman"/>
                <w:bCs/>
                <w:sz w:val="24"/>
                <w:szCs w:val="24"/>
                <w:u w:val="single"/>
              </w:rPr>
              <w:t xml:space="preserve">декабря </w:t>
            </w:r>
            <w:r w:rsidRPr="003C68C3">
              <w:rPr>
                <w:rFonts w:ascii="Times New Roman" w:hAnsi="Times New Roman"/>
                <w:bCs/>
                <w:sz w:val="24"/>
                <w:szCs w:val="24"/>
                <w:u w:val="single"/>
              </w:rPr>
              <w:t>2018 года</w:t>
            </w:r>
          </w:p>
        </w:tc>
        <w:tc>
          <w:tcPr>
            <w:tcW w:w="4974" w:type="dxa"/>
            <w:gridSpan w:val="3"/>
          </w:tcPr>
          <w:p w:rsidR="00A63BD3" w:rsidRPr="003C68C3" w:rsidRDefault="00A63BD3" w:rsidP="004726A5">
            <w:pPr>
              <w:spacing w:after="0" w:line="240" w:lineRule="auto"/>
              <w:rPr>
                <w:rFonts w:ascii="Times New Roman" w:hAnsi="Times New Roman"/>
                <w:b/>
                <w:bCs/>
                <w:sz w:val="24"/>
                <w:szCs w:val="24"/>
                <w:u w:val="single"/>
              </w:rPr>
            </w:pPr>
            <w:r w:rsidRPr="003C68C3">
              <w:rPr>
                <w:rFonts w:ascii="Times New Roman" w:hAnsi="Times New Roman"/>
                <w:bCs/>
                <w:sz w:val="24"/>
                <w:szCs w:val="24"/>
              </w:rPr>
              <w:t xml:space="preserve">                               </w:t>
            </w:r>
            <w:r w:rsidRPr="003C68C3">
              <w:rPr>
                <w:rFonts w:ascii="Times New Roman" w:hAnsi="Times New Roman"/>
                <w:bCs/>
                <w:sz w:val="24"/>
                <w:szCs w:val="24"/>
                <w:u w:val="single"/>
              </w:rPr>
              <w:t xml:space="preserve">Дело </w:t>
            </w:r>
            <w:r w:rsidRPr="003C68C3">
              <w:rPr>
                <w:rFonts w:ascii="Times New Roman" w:hAnsi="Times New Roman"/>
                <w:sz w:val="24"/>
                <w:szCs w:val="24"/>
                <w:u w:val="single"/>
              </w:rPr>
              <w:t xml:space="preserve">№  </w:t>
            </w:r>
            <w:r>
              <w:rPr>
                <w:rFonts w:ascii="Times New Roman" w:hAnsi="Times New Roman"/>
                <w:sz w:val="24"/>
                <w:szCs w:val="24"/>
                <w:u w:val="single"/>
              </w:rPr>
              <w:t>333/18-04</w:t>
            </w:r>
          </w:p>
        </w:tc>
      </w:tr>
      <w:tr w:rsidR="00A63BD3" w:rsidRPr="000057DB" w:rsidTr="007656E2">
        <w:tc>
          <w:tcPr>
            <w:tcW w:w="1200" w:type="dxa"/>
          </w:tcPr>
          <w:p w:rsidR="00A63BD3" w:rsidRPr="000057DB" w:rsidRDefault="00A63BD3" w:rsidP="007656E2">
            <w:pPr>
              <w:spacing w:after="0" w:line="240" w:lineRule="auto"/>
              <w:rPr>
                <w:rFonts w:ascii="Times New Roman" w:hAnsi="Times New Roman"/>
                <w:b/>
                <w:bCs/>
                <w:sz w:val="16"/>
                <w:szCs w:val="16"/>
              </w:rPr>
            </w:pPr>
          </w:p>
        </w:tc>
        <w:tc>
          <w:tcPr>
            <w:tcW w:w="1419" w:type="dxa"/>
            <w:gridSpan w:val="4"/>
          </w:tcPr>
          <w:p w:rsidR="00A63BD3" w:rsidRPr="000057DB" w:rsidRDefault="00A63BD3" w:rsidP="007656E2">
            <w:pPr>
              <w:spacing w:after="0" w:line="240" w:lineRule="auto"/>
              <w:rPr>
                <w:rFonts w:ascii="Times New Roman" w:hAnsi="Times New Roman"/>
                <w:b/>
                <w:bCs/>
                <w:sz w:val="16"/>
                <w:szCs w:val="16"/>
              </w:rPr>
            </w:pPr>
          </w:p>
        </w:tc>
        <w:tc>
          <w:tcPr>
            <w:tcW w:w="839" w:type="dxa"/>
          </w:tcPr>
          <w:p w:rsidR="00A63BD3" w:rsidRPr="000057DB" w:rsidRDefault="00A63BD3" w:rsidP="007656E2">
            <w:pPr>
              <w:spacing w:after="0" w:line="240" w:lineRule="auto"/>
              <w:rPr>
                <w:rFonts w:ascii="Times New Roman" w:hAnsi="Times New Roman"/>
                <w:b/>
                <w:bCs/>
                <w:sz w:val="16"/>
                <w:szCs w:val="16"/>
              </w:rPr>
            </w:pPr>
          </w:p>
        </w:tc>
        <w:tc>
          <w:tcPr>
            <w:tcW w:w="3579" w:type="dxa"/>
            <w:gridSpan w:val="2"/>
          </w:tcPr>
          <w:p w:rsidR="00A63BD3" w:rsidRPr="000057DB" w:rsidRDefault="00A63BD3" w:rsidP="007656E2">
            <w:pPr>
              <w:tabs>
                <w:tab w:val="center" w:pos="1805"/>
              </w:tabs>
              <w:spacing w:after="0" w:line="240" w:lineRule="auto"/>
              <w:jc w:val="center"/>
              <w:rPr>
                <w:rFonts w:ascii="Times New Roman" w:hAnsi="Times New Roman"/>
                <w:bCs/>
                <w:sz w:val="16"/>
                <w:szCs w:val="16"/>
              </w:rPr>
            </w:pPr>
          </w:p>
        </w:tc>
        <w:tc>
          <w:tcPr>
            <w:tcW w:w="2893" w:type="dxa"/>
            <w:gridSpan w:val="2"/>
          </w:tcPr>
          <w:p w:rsidR="00A63BD3" w:rsidRPr="000057DB" w:rsidRDefault="00A63BD3" w:rsidP="007656E2">
            <w:pPr>
              <w:spacing w:after="0" w:line="240" w:lineRule="auto"/>
              <w:rPr>
                <w:rFonts w:ascii="Times New Roman" w:hAnsi="Times New Roman"/>
                <w:b/>
                <w:bCs/>
                <w:sz w:val="16"/>
                <w:szCs w:val="16"/>
              </w:rPr>
            </w:pPr>
          </w:p>
        </w:tc>
      </w:tr>
      <w:tr w:rsidR="00A63BD3" w:rsidRPr="006210F2" w:rsidTr="007656E2">
        <w:tc>
          <w:tcPr>
            <w:tcW w:w="1987" w:type="dxa"/>
            <w:gridSpan w:val="2"/>
          </w:tcPr>
          <w:p w:rsidR="00A63BD3" w:rsidRPr="003C68C3" w:rsidRDefault="00A63BD3" w:rsidP="007656E2">
            <w:pPr>
              <w:spacing w:after="0" w:line="240" w:lineRule="auto"/>
              <w:rPr>
                <w:rFonts w:ascii="Times New Roman" w:hAnsi="Times New Roman"/>
                <w:b/>
                <w:bCs/>
                <w:sz w:val="24"/>
                <w:szCs w:val="24"/>
              </w:rPr>
            </w:pPr>
            <w:r w:rsidRPr="003C68C3">
              <w:rPr>
                <w:rFonts w:ascii="Times New Roman" w:hAnsi="Times New Roman"/>
                <w:bCs/>
                <w:sz w:val="24"/>
                <w:szCs w:val="24"/>
              </w:rPr>
              <w:t>г. Тирасполь</w:t>
            </w:r>
          </w:p>
        </w:tc>
        <w:tc>
          <w:tcPr>
            <w:tcW w:w="283" w:type="dxa"/>
          </w:tcPr>
          <w:p w:rsidR="00A63BD3" w:rsidRPr="003C68C3" w:rsidRDefault="00A63BD3" w:rsidP="007656E2">
            <w:pPr>
              <w:spacing w:after="0" w:line="240" w:lineRule="auto"/>
              <w:rPr>
                <w:rFonts w:ascii="Times New Roman" w:hAnsi="Times New Roman"/>
                <w:b/>
                <w:bCs/>
                <w:sz w:val="24"/>
                <w:szCs w:val="24"/>
              </w:rPr>
            </w:pPr>
          </w:p>
        </w:tc>
        <w:tc>
          <w:tcPr>
            <w:tcW w:w="284" w:type="dxa"/>
          </w:tcPr>
          <w:p w:rsidR="00A63BD3" w:rsidRPr="003C68C3" w:rsidRDefault="00A63BD3" w:rsidP="007656E2">
            <w:pPr>
              <w:spacing w:after="0" w:line="240" w:lineRule="auto"/>
              <w:jc w:val="center"/>
              <w:rPr>
                <w:rFonts w:ascii="Times New Roman" w:hAnsi="Times New Roman"/>
                <w:b/>
                <w:bCs/>
                <w:sz w:val="24"/>
                <w:szCs w:val="24"/>
              </w:rPr>
            </w:pPr>
          </w:p>
        </w:tc>
        <w:tc>
          <w:tcPr>
            <w:tcW w:w="4590" w:type="dxa"/>
            <w:gridSpan w:val="5"/>
          </w:tcPr>
          <w:p w:rsidR="00A63BD3" w:rsidRPr="003C68C3" w:rsidRDefault="00A63BD3" w:rsidP="007656E2">
            <w:pPr>
              <w:spacing w:after="0" w:line="240" w:lineRule="auto"/>
              <w:jc w:val="center"/>
              <w:rPr>
                <w:rFonts w:ascii="Times New Roman" w:hAnsi="Times New Roman"/>
                <w:b/>
                <w:bCs/>
                <w:sz w:val="24"/>
                <w:szCs w:val="24"/>
              </w:rPr>
            </w:pPr>
          </w:p>
        </w:tc>
        <w:tc>
          <w:tcPr>
            <w:tcW w:w="2786" w:type="dxa"/>
          </w:tcPr>
          <w:p w:rsidR="00A63BD3" w:rsidRPr="003C68C3" w:rsidRDefault="00A63BD3" w:rsidP="007656E2">
            <w:pPr>
              <w:spacing w:after="0" w:line="240" w:lineRule="auto"/>
              <w:rPr>
                <w:rFonts w:ascii="Times New Roman" w:hAnsi="Times New Roman"/>
                <w:b/>
                <w:bCs/>
                <w:sz w:val="24"/>
                <w:szCs w:val="24"/>
              </w:rPr>
            </w:pPr>
          </w:p>
        </w:tc>
      </w:tr>
      <w:tr w:rsidR="00A63BD3" w:rsidRPr="000057DB" w:rsidTr="007656E2">
        <w:tc>
          <w:tcPr>
            <w:tcW w:w="1200" w:type="dxa"/>
          </w:tcPr>
          <w:p w:rsidR="00A63BD3" w:rsidRPr="000057DB" w:rsidRDefault="00A63BD3" w:rsidP="007656E2">
            <w:pPr>
              <w:spacing w:after="0" w:line="240" w:lineRule="auto"/>
              <w:rPr>
                <w:rFonts w:ascii="Times New Roman" w:hAnsi="Times New Roman"/>
                <w:b/>
                <w:bCs/>
                <w:sz w:val="16"/>
                <w:szCs w:val="16"/>
              </w:rPr>
            </w:pPr>
          </w:p>
        </w:tc>
        <w:tc>
          <w:tcPr>
            <w:tcW w:w="1419" w:type="dxa"/>
            <w:gridSpan w:val="4"/>
          </w:tcPr>
          <w:p w:rsidR="00A63BD3" w:rsidRPr="000057DB" w:rsidRDefault="00A63BD3" w:rsidP="007656E2">
            <w:pPr>
              <w:spacing w:after="0" w:line="240" w:lineRule="auto"/>
              <w:rPr>
                <w:rFonts w:ascii="Times New Roman" w:hAnsi="Times New Roman"/>
                <w:b/>
                <w:bCs/>
                <w:sz w:val="16"/>
                <w:szCs w:val="16"/>
              </w:rPr>
            </w:pPr>
          </w:p>
        </w:tc>
        <w:tc>
          <w:tcPr>
            <w:tcW w:w="839" w:type="dxa"/>
          </w:tcPr>
          <w:p w:rsidR="00A63BD3" w:rsidRPr="000057DB" w:rsidRDefault="00A63BD3" w:rsidP="007656E2">
            <w:pPr>
              <w:spacing w:after="0" w:line="240" w:lineRule="auto"/>
              <w:rPr>
                <w:rFonts w:ascii="Times New Roman" w:hAnsi="Times New Roman"/>
                <w:b/>
                <w:bCs/>
                <w:sz w:val="16"/>
                <w:szCs w:val="16"/>
              </w:rPr>
            </w:pPr>
          </w:p>
        </w:tc>
        <w:tc>
          <w:tcPr>
            <w:tcW w:w="3579" w:type="dxa"/>
            <w:gridSpan w:val="2"/>
          </w:tcPr>
          <w:p w:rsidR="00A63BD3" w:rsidRPr="000057DB" w:rsidRDefault="00A63BD3" w:rsidP="007656E2">
            <w:pPr>
              <w:spacing w:after="0" w:line="240" w:lineRule="auto"/>
              <w:rPr>
                <w:rFonts w:ascii="Times New Roman" w:hAnsi="Times New Roman"/>
                <w:b/>
                <w:bCs/>
                <w:sz w:val="16"/>
                <w:szCs w:val="16"/>
              </w:rPr>
            </w:pPr>
          </w:p>
        </w:tc>
        <w:tc>
          <w:tcPr>
            <w:tcW w:w="2893" w:type="dxa"/>
            <w:gridSpan w:val="2"/>
          </w:tcPr>
          <w:p w:rsidR="00A63BD3" w:rsidRPr="000057DB" w:rsidRDefault="00A63BD3" w:rsidP="007656E2">
            <w:pPr>
              <w:spacing w:after="0" w:line="240" w:lineRule="auto"/>
              <w:rPr>
                <w:rFonts w:ascii="Times New Roman" w:hAnsi="Times New Roman"/>
                <w:b/>
                <w:bCs/>
                <w:sz w:val="16"/>
                <w:szCs w:val="16"/>
              </w:rPr>
            </w:pPr>
          </w:p>
        </w:tc>
      </w:tr>
    </w:tbl>
    <w:p w:rsidR="00A63BD3" w:rsidRPr="00152DF0" w:rsidRDefault="00A63BD3" w:rsidP="00BF4192">
      <w:pPr>
        <w:spacing w:after="0" w:line="240" w:lineRule="auto"/>
        <w:ind w:firstLine="720"/>
        <w:jc w:val="both"/>
        <w:rPr>
          <w:rFonts w:ascii="Times New Roman" w:hAnsi="Times New Roman"/>
          <w:color w:val="000000"/>
          <w:sz w:val="24"/>
          <w:szCs w:val="24"/>
        </w:rPr>
      </w:pPr>
      <w:r w:rsidRPr="003C68C3">
        <w:rPr>
          <w:rFonts w:ascii="Times New Roman" w:hAnsi="Times New Roman"/>
          <w:sz w:val="24"/>
          <w:szCs w:val="24"/>
        </w:rPr>
        <w:t xml:space="preserve">Судья Арбитражного суда Приднестровской Молдавской Республики Романенко А.П., рассмотрев </w:t>
      </w:r>
      <w:r>
        <w:rPr>
          <w:rFonts w:ascii="Times New Roman" w:hAnsi="Times New Roman"/>
          <w:sz w:val="24"/>
          <w:szCs w:val="24"/>
        </w:rPr>
        <w:t xml:space="preserve">ходатайство </w:t>
      </w:r>
      <w:r>
        <w:rPr>
          <w:rFonts w:ascii="Times New Roman" w:hAnsi="Times New Roman"/>
          <w:color w:val="000000"/>
          <w:sz w:val="24"/>
          <w:szCs w:val="24"/>
        </w:rPr>
        <w:t xml:space="preserve">ООО «Любомир»  о принятии мер обеспечению по заявлению ООО «Любомир» </w:t>
      </w:r>
      <w:r w:rsidRPr="00152DF0">
        <w:rPr>
          <w:rFonts w:ascii="Times New Roman" w:hAnsi="Times New Roman"/>
          <w:color w:val="000000"/>
          <w:sz w:val="24"/>
          <w:szCs w:val="24"/>
        </w:rPr>
        <w:t>о пересмотре по вновь открывшимся обстоятельствам Решения Арбитражного суда Приднестровской Молдавской Республики  от 19 июля 2018 года по делу №333/18-04 возбужденного по заявлени</w:t>
      </w:r>
      <w:r>
        <w:rPr>
          <w:rFonts w:ascii="Times New Roman" w:hAnsi="Times New Roman"/>
          <w:color w:val="000000"/>
          <w:sz w:val="24"/>
          <w:szCs w:val="24"/>
        </w:rPr>
        <w:t>ю</w:t>
      </w:r>
      <w:r w:rsidRPr="00152DF0">
        <w:rPr>
          <w:rFonts w:ascii="Times New Roman" w:hAnsi="Times New Roman"/>
          <w:color w:val="000000"/>
          <w:sz w:val="24"/>
          <w:szCs w:val="24"/>
        </w:rPr>
        <w:t xml:space="preserve"> ООО «Любомир» (г. Бендеры, ул. Суворова, д.9) к Налоговой инспекции по г. Бендеры (г. Бендеры, ул. Калинина, д. 17) о признании недействительным предписания НИ по г.Бендеры от 07 мая 2018 года №123-0106-18,</w:t>
      </w:r>
    </w:p>
    <w:p w:rsidR="00A63BD3" w:rsidRDefault="00A63BD3" w:rsidP="00BF4192">
      <w:pPr>
        <w:spacing w:after="0" w:line="240" w:lineRule="auto"/>
        <w:ind w:firstLine="720"/>
        <w:jc w:val="both"/>
        <w:rPr>
          <w:rFonts w:ascii="Times New Roman" w:hAnsi="Times New Roman"/>
          <w:color w:val="000000"/>
          <w:sz w:val="24"/>
          <w:szCs w:val="24"/>
        </w:rPr>
      </w:pPr>
      <w:r w:rsidRPr="003C68C3">
        <w:rPr>
          <w:rFonts w:ascii="Times New Roman" w:hAnsi="Times New Roman"/>
          <w:b/>
          <w:sz w:val="24"/>
          <w:szCs w:val="24"/>
        </w:rPr>
        <w:t>установил</w:t>
      </w:r>
      <w:r w:rsidRPr="003C68C3">
        <w:rPr>
          <w:rFonts w:ascii="Times New Roman" w:hAnsi="Times New Roman"/>
          <w:sz w:val="24"/>
          <w:szCs w:val="24"/>
        </w:rPr>
        <w:t xml:space="preserve">: </w:t>
      </w:r>
      <w:r>
        <w:rPr>
          <w:rFonts w:ascii="Times New Roman" w:hAnsi="Times New Roman"/>
          <w:sz w:val="24"/>
          <w:szCs w:val="24"/>
        </w:rPr>
        <w:t xml:space="preserve">определением Арбитражного суда ПМР от 21 мая 2018 года принято к производству заявление </w:t>
      </w:r>
      <w:r>
        <w:rPr>
          <w:rFonts w:ascii="Times New Roman" w:hAnsi="Times New Roman"/>
          <w:color w:val="000000"/>
          <w:sz w:val="24"/>
          <w:szCs w:val="24"/>
        </w:rPr>
        <w:t xml:space="preserve">ООО «Любомир» о признании недействительным предписания Налоговой инспекции по г. Бендеры №123-0106-18 от 07 мая 2018 года. </w:t>
      </w:r>
    </w:p>
    <w:p w:rsidR="00A63BD3" w:rsidRPr="000057DB" w:rsidRDefault="00A63BD3" w:rsidP="00BF4192">
      <w:pPr>
        <w:spacing w:after="0" w:line="240" w:lineRule="auto"/>
        <w:ind w:firstLine="720"/>
        <w:jc w:val="both"/>
        <w:rPr>
          <w:rFonts w:ascii="Times New Roman" w:hAnsi="Times New Roman"/>
          <w:color w:val="000000"/>
          <w:sz w:val="24"/>
          <w:szCs w:val="24"/>
        </w:rPr>
      </w:pPr>
      <w:r>
        <w:rPr>
          <w:rFonts w:ascii="Times New Roman" w:hAnsi="Times New Roman"/>
          <w:sz w:val="24"/>
          <w:szCs w:val="24"/>
        </w:rPr>
        <w:t xml:space="preserve">В суд поступило </w:t>
      </w:r>
      <w:r w:rsidRPr="000057DB">
        <w:rPr>
          <w:rFonts w:ascii="Times New Roman" w:hAnsi="Times New Roman"/>
          <w:sz w:val="24"/>
          <w:szCs w:val="24"/>
        </w:rPr>
        <w:t xml:space="preserve">заявление ООО «Любомир» </w:t>
      </w:r>
      <w:r>
        <w:rPr>
          <w:rFonts w:ascii="Times New Roman" w:hAnsi="Times New Roman"/>
          <w:sz w:val="24"/>
          <w:szCs w:val="24"/>
        </w:rPr>
        <w:t xml:space="preserve">о пересмотре </w:t>
      </w:r>
      <w:r w:rsidRPr="000057DB">
        <w:rPr>
          <w:rFonts w:ascii="Times New Roman" w:hAnsi="Times New Roman"/>
          <w:sz w:val="24"/>
          <w:szCs w:val="24"/>
        </w:rPr>
        <w:t>Решени</w:t>
      </w:r>
      <w:r>
        <w:rPr>
          <w:rFonts w:ascii="Times New Roman" w:hAnsi="Times New Roman"/>
          <w:sz w:val="24"/>
          <w:szCs w:val="24"/>
        </w:rPr>
        <w:t>я</w:t>
      </w:r>
      <w:r w:rsidRPr="000057DB">
        <w:rPr>
          <w:rFonts w:ascii="Times New Roman" w:hAnsi="Times New Roman"/>
          <w:sz w:val="24"/>
          <w:szCs w:val="24"/>
        </w:rPr>
        <w:t xml:space="preserve"> по делу №333/18-04 от 19 июля 2018 года по вновь открывшимся обстоятельствам</w:t>
      </w:r>
      <w:r>
        <w:rPr>
          <w:rFonts w:ascii="Times New Roman" w:hAnsi="Times New Roman"/>
          <w:sz w:val="24"/>
          <w:szCs w:val="24"/>
        </w:rPr>
        <w:t xml:space="preserve"> к которому приложено ходатайство ООО «Любомир» о принятии обеспечительных мер в виде приостановления действия предписания Налоговой инспекции по г. Бендеры </w:t>
      </w:r>
      <w:r>
        <w:rPr>
          <w:rFonts w:ascii="Times New Roman" w:hAnsi="Times New Roman"/>
          <w:color w:val="000000"/>
          <w:sz w:val="24"/>
          <w:szCs w:val="24"/>
        </w:rPr>
        <w:t xml:space="preserve">№123-0106-18 от 07 мая 2018 года. Ходатайство обоснованно тем, что </w:t>
      </w:r>
      <w:r w:rsidRPr="000057DB">
        <w:rPr>
          <w:rFonts w:ascii="Times New Roman" w:hAnsi="Times New Roman"/>
          <w:color w:val="000000"/>
          <w:sz w:val="24"/>
          <w:szCs w:val="24"/>
        </w:rPr>
        <w:t>предметом оспаривания является ненормативный правовой акт налогового органа, а именно предписание №123-0106-18 от 07.05.2018 года, по акту мероприятия по контролю № 023-0106-18 от 23.04.2018 года, обязывающее ООО «Любомир» перечислить в срок до 17мая 2018 года с учетом коэффициента инфляции сумму в размере 768263,33 (семьсот шестьдесят восемь тысяч двести шестьдесят три) рубля, 33 копейки ПМР.</w:t>
      </w:r>
      <w:r>
        <w:rPr>
          <w:rFonts w:ascii="Times New Roman" w:hAnsi="Times New Roman"/>
          <w:color w:val="000000"/>
          <w:sz w:val="24"/>
          <w:szCs w:val="24"/>
        </w:rPr>
        <w:t xml:space="preserve"> </w:t>
      </w:r>
      <w:r w:rsidRPr="000057DB">
        <w:rPr>
          <w:rFonts w:ascii="Times New Roman" w:hAnsi="Times New Roman"/>
          <w:color w:val="000000"/>
          <w:sz w:val="24"/>
          <w:szCs w:val="24"/>
        </w:rPr>
        <w:t>В настоящее время на рассмотрении Арбитражного суда ПМР находится дело №799/18-12 по заявлению налогового органа о взыскании задолженности по оспариваемому предписанию, а также об обращении взыскания на имущества ООО «Любомир».</w:t>
      </w:r>
      <w:r>
        <w:rPr>
          <w:rFonts w:ascii="Times New Roman" w:hAnsi="Times New Roman"/>
          <w:color w:val="000000"/>
          <w:sz w:val="24"/>
          <w:szCs w:val="24"/>
        </w:rPr>
        <w:t xml:space="preserve"> В этой связи, по мнению заявителя,  </w:t>
      </w:r>
      <w:r w:rsidRPr="000057DB">
        <w:rPr>
          <w:rFonts w:ascii="Times New Roman" w:hAnsi="Times New Roman"/>
          <w:color w:val="000000"/>
          <w:sz w:val="24"/>
          <w:szCs w:val="24"/>
        </w:rPr>
        <w:t>непринятие судом обеспечительных мер приведет к вынесению  судом решения о принудительном отчуждении всего имущества ООО «Любомир», что, в свою очередь, безусловно, приведет к причинению значительного ущерба заявителю.</w:t>
      </w:r>
    </w:p>
    <w:p w:rsidR="00A63BD3" w:rsidRPr="006A5D48" w:rsidRDefault="00A63BD3" w:rsidP="00BF4192">
      <w:pPr>
        <w:spacing w:after="0" w:line="240" w:lineRule="auto"/>
        <w:ind w:firstLine="720"/>
        <w:jc w:val="both"/>
        <w:rPr>
          <w:rFonts w:ascii="Times New Roman" w:hAnsi="Times New Roman"/>
          <w:sz w:val="24"/>
          <w:szCs w:val="24"/>
        </w:rPr>
      </w:pPr>
      <w:r w:rsidRPr="006A5D48">
        <w:rPr>
          <w:rFonts w:ascii="Times New Roman" w:hAnsi="Times New Roman"/>
          <w:sz w:val="24"/>
          <w:szCs w:val="24"/>
        </w:rPr>
        <w:t>Рассмотрев заявление</w:t>
      </w:r>
      <w:r>
        <w:rPr>
          <w:rFonts w:ascii="Times New Roman" w:hAnsi="Times New Roman"/>
          <w:sz w:val="24"/>
          <w:szCs w:val="24"/>
        </w:rPr>
        <w:t xml:space="preserve"> и приложенные к нему документы, а также материалы дела</w:t>
      </w:r>
      <w:r w:rsidRPr="006A5D48">
        <w:rPr>
          <w:rFonts w:ascii="Times New Roman" w:hAnsi="Times New Roman"/>
          <w:sz w:val="24"/>
          <w:szCs w:val="24"/>
        </w:rPr>
        <w:t>,  суд приходит к выводу о</w:t>
      </w:r>
      <w:r>
        <w:rPr>
          <w:rFonts w:ascii="Times New Roman" w:hAnsi="Times New Roman"/>
          <w:sz w:val="24"/>
          <w:szCs w:val="24"/>
        </w:rPr>
        <w:t>б отсутствии</w:t>
      </w:r>
      <w:r w:rsidRPr="006A5D48">
        <w:rPr>
          <w:rFonts w:ascii="Times New Roman" w:hAnsi="Times New Roman"/>
          <w:sz w:val="24"/>
          <w:szCs w:val="24"/>
        </w:rPr>
        <w:t xml:space="preserve"> оснований, установленных ст.64</w:t>
      </w:r>
      <w:r>
        <w:rPr>
          <w:rFonts w:ascii="Times New Roman" w:hAnsi="Times New Roman"/>
          <w:sz w:val="24"/>
          <w:szCs w:val="24"/>
        </w:rPr>
        <w:t xml:space="preserve"> </w:t>
      </w:r>
      <w:r w:rsidRPr="006A5D48">
        <w:rPr>
          <w:rFonts w:ascii="Times New Roman" w:hAnsi="Times New Roman"/>
          <w:sz w:val="24"/>
          <w:szCs w:val="24"/>
        </w:rPr>
        <w:t>АПК ПМР, для п</w:t>
      </w:r>
      <w:r>
        <w:rPr>
          <w:rFonts w:ascii="Times New Roman" w:hAnsi="Times New Roman"/>
          <w:sz w:val="24"/>
          <w:szCs w:val="24"/>
        </w:rPr>
        <w:t>ринятия обеспечительных мер.</w:t>
      </w:r>
    </w:p>
    <w:p w:rsidR="00A63BD3" w:rsidRPr="00152DF0" w:rsidRDefault="00A63BD3" w:rsidP="00BF4192">
      <w:pPr>
        <w:pStyle w:val="BodyTextIndent"/>
        <w:widowControl w:val="0"/>
        <w:outlineLvl w:val="0"/>
        <w:rPr>
          <w:sz w:val="24"/>
          <w:szCs w:val="24"/>
        </w:rPr>
      </w:pPr>
      <w:r w:rsidRPr="00152DF0">
        <w:rPr>
          <w:sz w:val="24"/>
          <w:szCs w:val="24"/>
        </w:rPr>
        <w:t>В соответствии с п</w:t>
      </w:r>
      <w:r>
        <w:rPr>
          <w:sz w:val="24"/>
          <w:szCs w:val="24"/>
        </w:rPr>
        <w:t>.</w:t>
      </w:r>
      <w:r w:rsidRPr="00152DF0">
        <w:rPr>
          <w:sz w:val="24"/>
          <w:szCs w:val="24"/>
        </w:rPr>
        <w:t>1 ст</w:t>
      </w:r>
      <w:r>
        <w:rPr>
          <w:sz w:val="24"/>
          <w:szCs w:val="24"/>
        </w:rPr>
        <w:t>.</w:t>
      </w:r>
      <w:r w:rsidRPr="00152DF0">
        <w:rPr>
          <w:sz w:val="24"/>
          <w:szCs w:val="24"/>
        </w:rPr>
        <w:t>64 А</w:t>
      </w:r>
      <w:r>
        <w:rPr>
          <w:sz w:val="24"/>
          <w:szCs w:val="24"/>
        </w:rPr>
        <w:t xml:space="preserve">ПК ПМР </w:t>
      </w:r>
      <w:r w:rsidRPr="00152DF0">
        <w:rPr>
          <w:sz w:val="24"/>
          <w:szCs w:val="24"/>
        </w:rPr>
        <w:t>арбитражный суд по заявлению лица, участвующего в деле, а в случаях, предусмотренных настоящим Кодексом, и иного лица, может принять срочные временные меры, направленные на обеспечение иска или имущественных интересов заявителя (обеспечительные меры). Обеспечение иска допускается на любой стадии арбитражного процесса, если непринятие таких мер может затруднить или сделать невозможным исполнение судебного акта.</w:t>
      </w:r>
    </w:p>
    <w:p w:rsidR="00A63BD3" w:rsidRDefault="00A63BD3" w:rsidP="00BF4192">
      <w:pPr>
        <w:pStyle w:val="BodyTextIndent"/>
        <w:widowControl w:val="0"/>
        <w:outlineLvl w:val="0"/>
        <w:rPr>
          <w:sz w:val="24"/>
          <w:szCs w:val="24"/>
        </w:rPr>
      </w:pPr>
      <w:r w:rsidRPr="00152DF0">
        <w:rPr>
          <w:sz w:val="24"/>
          <w:szCs w:val="24"/>
        </w:rPr>
        <w:t xml:space="preserve">Исходя из приведенной нормы права, арбитражный суд вправе принять меры по обеспечению иска в том случае, если непринятие таких мер может затруднить или сделать невозможным исполнение судебного акта. Иных оснований для принятия обеспечительных мер АПК ПМР не содержит. </w:t>
      </w:r>
    </w:p>
    <w:p w:rsidR="00A63BD3" w:rsidRDefault="00A63BD3" w:rsidP="00BF4192">
      <w:pPr>
        <w:pStyle w:val="BodyTextIndent"/>
        <w:widowControl w:val="0"/>
        <w:outlineLvl w:val="0"/>
        <w:rPr>
          <w:sz w:val="24"/>
          <w:szCs w:val="24"/>
        </w:rPr>
      </w:pPr>
      <w:r>
        <w:rPr>
          <w:sz w:val="24"/>
          <w:szCs w:val="24"/>
        </w:rPr>
        <w:t>Указанные ООО «Любомир» обстоятельства не способны затруднить либо сделать невозможным исполнение возможного судебного акта ввиду следующего.</w:t>
      </w:r>
    </w:p>
    <w:p w:rsidR="00A63BD3" w:rsidRDefault="00A63BD3" w:rsidP="00BF4192">
      <w:pPr>
        <w:pStyle w:val="BodyTextIndent"/>
        <w:widowControl w:val="0"/>
        <w:outlineLvl w:val="0"/>
        <w:rPr>
          <w:color w:val="000000"/>
          <w:sz w:val="24"/>
          <w:szCs w:val="24"/>
        </w:rPr>
      </w:pPr>
      <w:r>
        <w:rPr>
          <w:sz w:val="24"/>
          <w:szCs w:val="24"/>
        </w:rPr>
        <w:t xml:space="preserve">Как следует из материалов дела, </w:t>
      </w:r>
      <w:r w:rsidRPr="008C0DB7">
        <w:rPr>
          <w:sz w:val="24"/>
          <w:szCs w:val="24"/>
        </w:rPr>
        <w:t>ООО «Любомир» обратилось в Арбитражный суд ПМР с заявлением о признании недействительным предписания №123-0106-18 по акту мероприятия по контролю № 023-0106-18 от 23.04.2018 г., вынесенного Налоговой инспекцией по г. Бендеры.</w:t>
      </w:r>
      <w:r>
        <w:rPr>
          <w:sz w:val="24"/>
          <w:szCs w:val="24"/>
        </w:rPr>
        <w:t xml:space="preserve"> Решением </w:t>
      </w:r>
      <w:r w:rsidRPr="00152DF0">
        <w:rPr>
          <w:color w:val="000000"/>
          <w:sz w:val="24"/>
          <w:szCs w:val="24"/>
        </w:rPr>
        <w:t>Арбитражного суда Приднестровской Молдавской Республики  от 19 июля 2018 года по делу №333/18-04</w:t>
      </w:r>
      <w:r>
        <w:rPr>
          <w:color w:val="000000"/>
          <w:sz w:val="24"/>
          <w:szCs w:val="24"/>
        </w:rPr>
        <w:t xml:space="preserve"> в удовлетворении требований отказано. </w:t>
      </w:r>
    </w:p>
    <w:p w:rsidR="00A63BD3" w:rsidRDefault="00A63BD3" w:rsidP="00BF4192">
      <w:pPr>
        <w:pStyle w:val="BodyTextIndent"/>
        <w:widowControl w:val="0"/>
        <w:outlineLvl w:val="0"/>
        <w:rPr>
          <w:color w:val="000000"/>
          <w:sz w:val="24"/>
          <w:szCs w:val="24"/>
        </w:rPr>
      </w:pPr>
      <w:r>
        <w:rPr>
          <w:color w:val="000000"/>
          <w:sz w:val="24"/>
          <w:szCs w:val="24"/>
        </w:rPr>
        <w:t xml:space="preserve">06 декабря 2018 года ООО «Любомир» обратилось с заявлением </w:t>
      </w:r>
      <w:r w:rsidRPr="00152DF0">
        <w:rPr>
          <w:color w:val="000000"/>
          <w:sz w:val="24"/>
          <w:szCs w:val="24"/>
        </w:rPr>
        <w:t>о пересмотре по вновь открывшимся обстоятельствам Решения Арбитражного суда Приднестровской Молдавской Республики  от 19 июля 2018 года по делу №333/18-04</w:t>
      </w:r>
      <w:r>
        <w:rPr>
          <w:color w:val="000000"/>
          <w:sz w:val="24"/>
          <w:szCs w:val="24"/>
        </w:rPr>
        <w:t>.</w:t>
      </w:r>
    </w:p>
    <w:p w:rsidR="00A63BD3" w:rsidRDefault="00A63BD3" w:rsidP="00BF4192">
      <w:pPr>
        <w:pStyle w:val="BodyTextIndent"/>
        <w:widowControl w:val="0"/>
        <w:outlineLvl w:val="0"/>
        <w:rPr>
          <w:sz w:val="24"/>
          <w:szCs w:val="24"/>
        </w:rPr>
      </w:pPr>
      <w:r>
        <w:rPr>
          <w:sz w:val="24"/>
          <w:szCs w:val="24"/>
        </w:rPr>
        <w:t>В соответствии со статьей 168 АПК ПМР а</w:t>
      </w:r>
      <w:r w:rsidRPr="008C0DB7">
        <w:rPr>
          <w:sz w:val="24"/>
          <w:szCs w:val="24"/>
        </w:rPr>
        <w:t>рбитражный суд может пересмотреть принятый им и вступивший в законную силу судебный акт по новым или вновь открывшимся обстоятельствам</w:t>
      </w:r>
      <w:r>
        <w:rPr>
          <w:sz w:val="24"/>
          <w:szCs w:val="24"/>
        </w:rPr>
        <w:t xml:space="preserve">. </w:t>
      </w:r>
      <w:r w:rsidRPr="004C52E3">
        <w:rPr>
          <w:sz w:val="24"/>
          <w:szCs w:val="24"/>
        </w:rPr>
        <w:t>По результатам рассмотрения заявления о пересмотре вступивших в законную силу судебных актов по новым или вновь открывшимся обстоятельствам арбитражный суд или принимает решение, постановление об удовлетворении заявления и отмене ранее принятого им судебного акта по новым или вновь открывшимся обстоятельствам, или выносит определение об отказе в удовлетворении заявления</w:t>
      </w:r>
      <w:r>
        <w:rPr>
          <w:sz w:val="24"/>
          <w:szCs w:val="24"/>
        </w:rPr>
        <w:t xml:space="preserve"> (п.1 ст.172-4 АПК ПМР)</w:t>
      </w:r>
      <w:r w:rsidRPr="004C52E3">
        <w:rPr>
          <w:sz w:val="24"/>
          <w:szCs w:val="24"/>
        </w:rPr>
        <w:t>.</w:t>
      </w:r>
      <w:r>
        <w:rPr>
          <w:sz w:val="24"/>
          <w:szCs w:val="24"/>
        </w:rPr>
        <w:t xml:space="preserve"> </w:t>
      </w:r>
    </w:p>
    <w:p w:rsidR="00A63BD3" w:rsidRDefault="00A63BD3" w:rsidP="00BF4192">
      <w:pPr>
        <w:pStyle w:val="BodyTextIndent"/>
        <w:widowControl w:val="0"/>
        <w:outlineLvl w:val="0"/>
        <w:rPr>
          <w:color w:val="000000"/>
          <w:sz w:val="24"/>
          <w:szCs w:val="24"/>
        </w:rPr>
      </w:pPr>
      <w:r>
        <w:rPr>
          <w:sz w:val="24"/>
          <w:szCs w:val="24"/>
        </w:rPr>
        <w:t xml:space="preserve">Таким образом, процессуальный закон предусматривает принятие судом по результатам рассмотрения заявления о пересмотре судебного акта по вновь открывшимся обстоятельствам двух судебных актов – (1)определения об отказе в </w:t>
      </w:r>
      <w:r w:rsidRPr="004C52E3">
        <w:rPr>
          <w:sz w:val="24"/>
          <w:szCs w:val="24"/>
        </w:rPr>
        <w:t>удовлетворении заявления</w:t>
      </w:r>
      <w:r>
        <w:rPr>
          <w:sz w:val="24"/>
          <w:szCs w:val="24"/>
        </w:rPr>
        <w:t xml:space="preserve"> о пересмотре судебного акта; (2)Решения </w:t>
      </w:r>
      <w:r w:rsidRPr="004C52E3">
        <w:rPr>
          <w:sz w:val="24"/>
          <w:szCs w:val="24"/>
        </w:rPr>
        <w:t xml:space="preserve">об удовлетворении </w:t>
      </w:r>
      <w:r>
        <w:rPr>
          <w:sz w:val="24"/>
          <w:szCs w:val="24"/>
        </w:rPr>
        <w:t xml:space="preserve">судом </w:t>
      </w:r>
      <w:r w:rsidRPr="004C52E3">
        <w:rPr>
          <w:sz w:val="24"/>
          <w:szCs w:val="24"/>
        </w:rPr>
        <w:t>заявления и отмене ранее принятого им судебного акта</w:t>
      </w:r>
      <w:r>
        <w:rPr>
          <w:sz w:val="24"/>
          <w:szCs w:val="24"/>
        </w:rPr>
        <w:t xml:space="preserve">. Ни один из указанных судебных актов не требует от сторон по делу совершения каких-либо действий и не предполагают их исполнение сторонами, поскольку не разрешают спор между ними по существу. Соответственно, приведенные ООО «Любомир» обстоятельства, не способны каким-либо образом затруднить либо сделать невозможным исполнение возможного судебного акта, который будет принят по результатам рассмотрения поступившего заявления </w:t>
      </w:r>
      <w:r w:rsidRPr="00152DF0">
        <w:rPr>
          <w:color w:val="000000"/>
          <w:sz w:val="24"/>
          <w:szCs w:val="24"/>
        </w:rPr>
        <w:t>о пересмотре по вновь открывшимся обстоятельствам Решения Арбитражного суда Приднестровской Молдавской Республики  от 19 июля 2018 года по делу №333/18-04</w:t>
      </w:r>
      <w:r>
        <w:rPr>
          <w:color w:val="000000"/>
          <w:sz w:val="24"/>
          <w:szCs w:val="24"/>
        </w:rPr>
        <w:t>.</w:t>
      </w:r>
    </w:p>
    <w:p w:rsidR="00A63BD3" w:rsidRDefault="00A63BD3" w:rsidP="0057741B">
      <w:pPr>
        <w:pStyle w:val="BodyTextIndent"/>
        <w:widowControl w:val="0"/>
        <w:outlineLvl w:val="0"/>
        <w:rPr>
          <w:color w:val="000000"/>
          <w:sz w:val="24"/>
          <w:szCs w:val="24"/>
        </w:rPr>
      </w:pPr>
      <w:r>
        <w:rPr>
          <w:color w:val="000000"/>
          <w:sz w:val="24"/>
          <w:szCs w:val="24"/>
        </w:rPr>
        <w:t xml:space="preserve">Кроме того, испрашиваемая заявителем обеспечительная мера, предусмотренная п.3 </w:t>
      </w:r>
      <w:r w:rsidRPr="0057741B">
        <w:rPr>
          <w:color w:val="000000"/>
          <w:sz w:val="24"/>
          <w:szCs w:val="24"/>
        </w:rPr>
        <w:t>ст</w:t>
      </w:r>
      <w:r>
        <w:rPr>
          <w:color w:val="000000"/>
          <w:sz w:val="24"/>
          <w:szCs w:val="24"/>
        </w:rPr>
        <w:t>.</w:t>
      </w:r>
      <w:r w:rsidRPr="0057741B">
        <w:rPr>
          <w:color w:val="000000"/>
          <w:sz w:val="24"/>
          <w:szCs w:val="24"/>
        </w:rPr>
        <w:t xml:space="preserve">130-11 АПК ПМР, </w:t>
      </w:r>
      <w:r>
        <w:rPr>
          <w:color w:val="000000"/>
          <w:sz w:val="24"/>
          <w:szCs w:val="24"/>
        </w:rPr>
        <w:t xml:space="preserve">является специальной, применяемой </w:t>
      </w:r>
      <w:r w:rsidRPr="0057741B">
        <w:rPr>
          <w:color w:val="000000"/>
          <w:sz w:val="24"/>
          <w:szCs w:val="24"/>
        </w:rPr>
        <w:t>при рассмотрении заявления о признании ненормативного правового акта недействительным, решений и действий (бездействия) незаконными</w:t>
      </w:r>
      <w:r>
        <w:rPr>
          <w:color w:val="000000"/>
          <w:sz w:val="24"/>
          <w:szCs w:val="24"/>
        </w:rPr>
        <w:t>. В данном случае, такой спор судом уже рассмотрен, а Решение вступило в законную силу, что означает отсутствие основания для применения этой обеспечительной меры.</w:t>
      </w:r>
    </w:p>
    <w:p w:rsidR="00A63BD3" w:rsidRDefault="00A63BD3" w:rsidP="00BF4192">
      <w:pPr>
        <w:pStyle w:val="BodyTextIndent"/>
        <w:widowControl w:val="0"/>
        <w:outlineLvl w:val="0"/>
        <w:rPr>
          <w:sz w:val="24"/>
          <w:szCs w:val="24"/>
        </w:rPr>
      </w:pPr>
      <w:r>
        <w:rPr>
          <w:sz w:val="24"/>
          <w:szCs w:val="24"/>
        </w:rPr>
        <w:t xml:space="preserve">В связи с изложенным суд приходит к выводу об отсутствии предусмотренных ст.64, п.3 ст.130-11 АПК ПМР оснований для удовлетворения ходатайства и принятия обеспечительных мер. </w:t>
      </w:r>
    </w:p>
    <w:p w:rsidR="00A63BD3" w:rsidRPr="00A70AD1" w:rsidRDefault="00A63BD3" w:rsidP="00BF4192">
      <w:pPr>
        <w:pStyle w:val="BodyTextIndent"/>
        <w:widowControl w:val="0"/>
        <w:outlineLvl w:val="0"/>
        <w:rPr>
          <w:bCs/>
          <w:sz w:val="24"/>
          <w:szCs w:val="24"/>
        </w:rPr>
      </w:pPr>
      <w:r w:rsidRPr="00A70AD1">
        <w:rPr>
          <w:bCs/>
          <w:sz w:val="24"/>
          <w:szCs w:val="24"/>
        </w:rPr>
        <w:t>Руководствуясь</w:t>
      </w:r>
      <w:r>
        <w:rPr>
          <w:bCs/>
          <w:sz w:val="24"/>
          <w:szCs w:val="24"/>
        </w:rPr>
        <w:t xml:space="preserve"> </w:t>
      </w:r>
      <w:r w:rsidRPr="00A70AD1">
        <w:rPr>
          <w:bCs/>
          <w:sz w:val="24"/>
          <w:szCs w:val="24"/>
        </w:rPr>
        <w:t>ст</w:t>
      </w:r>
      <w:r>
        <w:rPr>
          <w:bCs/>
          <w:sz w:val="24"/>
          <w:szCs w:val="24"/>
        </w:rPr>
        <w:t>.ст.64, 128</w:t>
      </w:r>
      <w:r w:rsidRPr="00A70AD1">
        <w:rPr>
          <w:bCs/>
          <w:sz w:val="24"/>
          <w:szCs w:val="24"/>
        </w:rPr>
        <w:t xml:space="preserve"> А</w:t>
      </w:r>
      <w:r>
        <w:rPr>
          <w:bCs/>
          <w:sz w:val="24"/>
          <w:szCs w:val="24"/>
        </w:rPr>
        <w:t>ПК ПМР</w:t>
      </w:r>
      <w:r w:rsidRPr="00A70AD1">
        <w:rPr>
          <w:bCs/>
          <w:sz w:val="24"/>
          <w:szCs w:val="24"/>
        </w:rPr>
        <w:t xml:space="preserve">, суд </w:t>
      </w:r>
    </w:p>
    <w:p w:rsidR="00A63BD3" w:rsidRDefault="00A63BD3" w:rsidP="00BF4192">
      <w:pPr>
        <w:keepNext/>
        <w:spacing w:after="0" w:line="240" w:lineRule="auto"/>
        <w:jc w:val="center"/>
        <w:outlineLvl w:val="2"/>
        <w:rPr>
          <w:rFonts w:ascii="Times New Roman" w:hAnsi="Times New Roman"/>
          <w:sz w:val="23"/>
          <w:szCs w:val="23"/>
        </w:rPr>
      </w:pPr>
      <w:r>
        <w:rPr>
          <w:rFonts w:ascii="Times New Roman" w:hAnsi="Times New Roman"/>
          <w:sz w:val="23"/>
          <w:szCs w:val="23"/>
        </w:rPr>
        <w:t>определил</w:t>
      </w:r>
      <w:r w:rsidRPr="003C68C3">
        <w:rPr>
          <w:rFonts w:ascii="Times New Roman" w:hAnsi="Times New Roman"/>
          <w:sz w:val="23"/>
          <w:szCs w:val="23"/>
        </w:rPr>
        <w:t>:</w:t>
      </w:r>
    </w:p>
    <w:p w:rsidR="00A63BD3" w:rsidRDefault="00A63BD3" w:rsidP="00BF4192">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Х</w:t>
      </w:r>
      <w:r w:rsidRPr="00A70AD1">
        <w:rPr>
          <w:rFonts w:ascii="Times New Roman" w:hAnsi="Times New Roman"/>
          <w:sz w:val="24"/>
          <w:szCs w:val="24"/>
        </w:rPr>
        <w:t xml:space="preserve">одатайство ООО </w:t>
      </w:r>
      <w:r>
        <w:rPr>
          <w:rFonts w:ascii="Times New Roman" w:hAnsi="Times New Roman"/>
          <w:sz w:val="24"/>
          <w:szCs w:val="24"/>
        </w:rPr>
        <w:t>«Любомир»</w:t>
      </w:r>
      <w:r w:rsidRPr="00A70AD1">
        <w:rPr>
          <w:rFonts w:ascii="Times New Roman" w:hAnsi="Times New Roman"/>
          <w:sz w:val="24"/>
          <w:szCs w:val="24"/>
        </w:rPr>
        <w:t xml:space="preserve"> о</w:t>
      </w:r>
      <w:r>
        <w:rPr>
          <w:rFonts w:ascii="Times New Roman" w:hAnsi="Times New Roman"/>
          <w:sz w:val="24"/>
          <w:szCs w:val="24"/>
        </w:rPr>
        <w:t xml:space="preserve"> принятии обеспечительных мер оставить без удовлетворения.</w:t>
      </w:r>
    </w:p>
    <w:p w:rsidR="00A63BD3" w:rsidRPr="00A70AD1" w:rsidRDefault="00A63BD3" w:rsidP="00BF4192">
      <w:pPr>
        <w:spacing w:after="0" w:line="240" w:lineRule="auto"/>
        <w:ind w:firstLine="567"/>
        <w:jc w:val="both"/>
        <w:rPr>
          <w:rFonts w:ascii="Times New Roman" w:hAnsi="Times New Roman"/>
          <w:sz w:val="24"/>
          <w:szCs w:val="24"/>
        </w:rPr>
      </w:pPr>
      <w:r w:rsidRPr="00A70AD1">
        <w:rPr>
          <w:rFonts w:ascii="Times New Roman" w:hAnsi="Times New Roman"/>
          <w:sz w:val="24"/>
          <w:szCs w:val="24"/>
        </w:rPr>
        <w:t>Определение может быть обжаловано в течение 15 дней со дня вынесения.</w:t>
      </w:r>
    </w:p>
    <w:p w:rsidR="00A63BD3" w:rsidRDefault="00A63BD3" w:rsidP="00BF4192">
      <w:pPr>
        <w:spacing w:after="0" w:line="240" w:lineRule="auto"/>
        <w:ind w:firstLine="567"/>
        <w:rPr>
          <w:rFonts w:ascii="Times New Roman" w:hAnsi="Times New Roman"/>
          <w:bCs/>
          <w:sz w:val="24"/>
          <w:szCs w:val="24"/>
        </w:rPr>
      </w:pPr>
    </w:p>
    <w:p w:rsidR="00A63BD3" w:rsidRDefault="00A63BD3" w:rsidP="00BF4192">
      <w:pPr>
        <w:spacing w:after="0" w:line="240" w:lineRule="auto"/>
        <w:ind w:firstLine="567"/>
        <w:rPr>
          <w:rFonts w:ascii="Times New Roman" w:hAnsi="Times New Roman"/>
          <w:bCs/>
          <w:sz w:val="24"/>
          <w:szCs w:val="24"/>
        </w:rPr>
      </w:pPr>
    </w:p>
    <w:p w:rsidR="00A63BD3" w:rsidRDefault="00A63BD3" w:rsidP="00BF4192">
      <w:pPr>
        <w:spacing w:after="0" w:line="240" w:lineRule="auto"/>
        <w:ind w:firstLine="567"/>
      </w:pPr>
      <w:r w:rsidRPr="003C68C3">
        <w:rPr>
          <w:rFonts w:ascii="Times New Roman" w:hAnsi="Times New Roman"/>
          <w:bCs/>
          <w:sz w:val="24"/>
          <w:szCs w:val="24"/>
        </w:rPr>
        <w:t>Судья</w:t>
      </w:r>
      <w:r w:rsidRPr="003C68C3">
        <w:rPr>
          <w:rFonts w:ascii="Times New Roman" w:hAnsi="Times New Roman"/>
          <w:bCs/>
          <w:sz w:val="24"/>
          <w:szCs w:val="24"/>
        </w:rPr>
        <w:tab/>
      </w:r>
      <w:r w:rsidRPr="003C68C3">
        <w:rPr>
          <w:rFonts w:ascii="Times New Roman" w:hAnsi="Times New Roman"/>
          <w:bCs/>
          <w:sz w:val="24"/>
          <w:szCs w:val="24"/>
        </w:rPr>
        <w:tab/>
      </w:r>
      <w:r w:rsidRPr="003C68C3">
        <w:rPr>
          <w:rFonts w:ascii="Times New Roman" w:hAnsi="Times New Roman"/>
          <w:bCs/>
          <w:sz w:val="24"/>
          <w:szCs w:val="24"/>
        </w:rPr>
        <w:tab/>
        <w:t xml:space="preserve">     </w:t>
      </w:r>
      <w:r w:rsidRPr="003C68C3">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3C68C3">
        <w:rPr>
          <w:rFonts w:ascii="Times New Roman" w:hAnsi="Times New Roman"/>
          <w:bCs/>
          <w:sz w:val="24"/>
          <w:szCs w:val="24"/>
        </w:rPr>
        <w:t>А.П. Романенко</w:t>
      </w:r>
    </w:p>
    <w:p w:rsidR="00A63BD3" w:rsidRDefault="00A63BD3" w:rsidP="00BF4192">
      <w:pPr>
        <w:spacing w:after="0"/>
      </w:pPr>
    </w:p>
    <w:sectPr w:rsidR="00A63BD3" w:rsidSect="00972D34">
      <w:pgSz w:w="11906" w:h="16838"/>
      <w:pgMar w:top="1134"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6A5"/>
    <w:rsid w:val="00000AFC"/>
    <w:rsid w:val="000057DB"/>
    <w:rsid w:val="000240F7"/>
    <w:rsid w:val="00075C97"/>
    <w:rsid w:val="0009550A"/>
    <w:rsid w:val="000A1D00"/>
    <w:rsid w:val="000B1657"/>
    <w:rsid w:val="000C3B45"/>
    <w:rsid w:val="000D6A7A"/>
    <w:rsid w:val="00110F24"/>
    <w:rsid w:val="00152DF0"/>
    <w:rsid w:val="001844BD"/>
    <w:rsid w:val="0024777B"/>
    <w:rsid w:val="002944AE"/>
    <w:rsid w:val="002C6F80"/>
    <w:rsid w:val="00364225"/>
    <w:rsid w:val="00390673"/>
    <w:rsid w:val="003C68C3"/>
    <w:rsid w:val="004726A5"/>
    <w:rsid w:val="0047750C"/>
    <w:rsid w:val="0049241B"/>
    <w:rsid w:val="004C52E3"/>
    <w:rsid w:val="0051344C"/>
    <w:rsid w:val="0057741B"/>
    <w:rsid w:val="005A5194"/>
    <w:rsid w:val="006210F2"/>
    <w:rsid w:val="00642898"/>
    <w:rsid w:val="006530C1"/>
    <w:rsid w:val="006673A1"/>
    <w:rsid w:val="00671814"/>
    <w:rsid w:val="006A5D48"/>
    <w:rsid w:val="00722786"/>
    <w:rsid w:val="007656E2"/>
    <w:rsid w:val="007751DA"/>
    <w:rsid w:val="00823734"/>
    <w:rsid w:val="00853012"/>
    <w:rsid w:val="00853325"/>
    <w:rsid w:val="00880EA0"/>
    <w:rsid w:val="008C0DB7"/>
    <w:rsid w:val="008D14E9"/>
    <w:rsid w:val="00972D34"/>
    <w:rsid w:val="0098374B"/>
    <w:rsid w:val="00996A2C"/>
    <w:rsid w:val="00A51662"/>
    <w:rsid w:val="00A63BD3"/>
    <w:rsid w:val="00A67AAA"/>
    <w:rsid w:val="00A70AD1"/>
    <w:rsid w:val="00A96764"/>
    <w:rsid w:val="00A97072"/>
    <w:rsid w:val="00AF36A8"/>
    <w:rsid w:val="00B023F5"/>
    <w:rsid w:val="00B25EAB"/>
    <w:rsid w:val="00BF4192"/>
    <w:rsid w:val="00C85866"/>
    <w:rsid w:val="00D65E4F"/>
    <w:rsid w:val="00DC19B7"/>
    <w:rsid w:val="00E233F7"/>
    <w:rsid w:val="00F97C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726A5"/>
    <w:pPr>
      <w:spacing w:after="0" w:line="240" w:lineRule="auto"/>
      <w:ind w:firstLine="567"/>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4726A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964</Words>
  <Characters>5495</Characters>
  <Application>Microsoft Office Outlook</Application>
  <DocSecurity>0</DocSecurity>
  <Lines>0</Lines>
  <Paragraphs>0</Paragraphs>
  <ScaleCrop>false</ScaleCrop>
  <Company>Арбитражный суд ПМР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dc:title>
  <dc:subject/>
  <dc:creator>oyo</dc:creator>
  <cp:keywords/>
  <dc:description/>
  <cp:lastModifiedBy>Rap</cp:lastModifiedBy>
  <cp:revision>3</cp:revision>
  <cp:lastPrinted>2018-09-12T05:43:00Z</cp:lastPrinted>
  <dcterms:created xsi:type="dcterms:W3CDTF">2018-12-08T12:26:00Z</dcterms:created>
  <dcterms:modified xsi:type="dcterms:W3CDTF">2018-12-08T12:51:00Z</dcterms:modified>
</cp:coreProperties>
</file>