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A30454"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119B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5F239A" w:rsidP="00A032B6">
      <w:pPr>
        <w:ind w:left="-181"/>
        <w:jc w:val="center"/>
        <w:rPr>
          <w:b/>
        </w:rPr>
      </w:pPr>
      <w:r>
        <w:rPr>
          <w:b/>
        </w:rPr>
        <w:t>об оставлении искового заявления без движения</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5F239A">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5F239A">
              <w:rPr>
                <w:rFonts w:eastAsia="Calibri"/>
                <w:sz w:val="20"/>
                <w:szCs w:val="20"/>
                <w:u w:val="single"/>
              </w:rPr>
              <w:t>7</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февраля      2018 г. </w:t>
            </w:r>
          </w:p>
        </w:tc>
        <w:tc>
          <w:tcPr>
            <w:tcW w:w="4971" w:type="dxa"/>
            <w:gridSpan w:val="3"/>
          </w:tcPr>
          <w:p w:rsidR="00435D1A" w:rsidRPr="00C1131C" w:rsidRDefault="00435D1A" w:rsidP="005F239A">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5F239A">
              <w:rPr>
                <w:rFonts w:eastAsia="Calibri"/>
                <w:sz w:val="20"/>
                <w:szCs w:val="20"/>
                <w:u w:val="single"/>
              </w:rPr>
              <w:t>78</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5F239A" w:rsidRPr="0095554E" w:rsidRDefault="005F239A" w:rsidP="005F239A">
      <w:pPr>
        <w:ind w:firstLine="720"/>
        <w:jc w:val="both"/>
        <w:rPr>
          <w:sz w:val="23"/>
          <w:szCs w:val="23"/>
        </w:rPr>
      </w:pPr>
      <w:r w:rsidRPr="0095554E">
        <w:rPr>
          <w:sz w:val="23"/>
          <w:szCs w:val="23"/>
        </w:rPr>
        <w:t xml:space="preserve">Арбитражный суд Приднестровской Молдавской Республики в составе судьи </w:t>
      </w:r>
      <w:r w:rsidRPr="0095554E">
        <w:rPr>
          <w:sz w:val="23"/>
          <w:szCs w:val="23"/>
        </w:rPr>
        <w:br/>
        <w:t xml:space="preserve">Т. И. Цыганаш, рассмотрев вопрос о принятии </w:t>
      </w:r>
      <w:r w:rsidR="0095554E">
        <w:rPr>
          <w:sz w:val="23"/>
          <w:szCs w:val="23"/>
        </w:rPr>
        <w:t xml:space="preserve">искового </w:t>
      </w:r>
      <w:r w:rsidRPr="0095554E">
        <w:rPr>
          <w:sz w:val="23"/>
          <w:szCs w:val="23"/>
        </w:rPr>
        <w:t xml:space="preserve">заявления общества с ограниченной ответственностью «Камнерез» (Григориопольский район, с. Черница, ул. Мичурина, д. 55) к Государственной администрации Григориопольского района и г. Григориополь </w:t>
      </w:r>
      <w:r w:rsidRPr="0095554E">
        <w:rPr>
          <w:sz w:val="23"/>
          <w:szCs w:val="23"/>
        </w:rPr>
        <w:br/>
        <w:t>(г. Григориополь, ул. Ленина 8) о признании права собственности на самовольную постройку, изучив приложенные к нему документы,</w:t>
      </w:r>
    </w:p>
    <w:p w:rsidR="005F239A" w:rsidRPr="0095554E" w:rsidRDefault="005F239A" w:rsidP="005F239A">
      <w:pPr>
        <w:jc w:val="center"/>
        <w:rPr>
          <w:b/>
          <w:sz w:val="23"/>
          <w:szCs w:val="23"/>
        </w:rPr>
      </w:pPr>
    </w:p>
    <w:p w:rsidR="005F239A" w:rsidRPr="0095554E" w:rsidRDefault="005F239A" w:rsidP="005F239A">
      <w:pPr>
        <w:jc w:val="center"/>
        <w:rPr>
          <w:b/>
          <w:sz w:val="23"/>
          <w:szCs w:val="23"/>
        </w:rPr>
      </w:pPr>
      <w:r w:rsidRPr="0095554E">
        <w:rPr>
          <w:b/>
          <w:sz w:val="23"/>
          <w:szCs w:val="23"/>
        </w:rPr>
        <w:t>У С Т А Н О В И Л:</w:t>
      </w:r>
    </w:p>
    <w:p w:rsidR="005F239A" w:rsidRPr="0095554E" w:rsidRDefault="005F239A" w:rsidP="005F239A">
      <w:pPr>
        <w:jc w:val="both"/>
        <w:rPr>
          <w:sz w:val="23"/>
          <w:szCs w:val="23"/>
        </w:rPr>
      </w:pPr>
      <w:r w:rsidRPr="0095554E">
        <w:rPr>
          <w:sz w:val="23"/>
          <w:szCs w:val="23"/>
        </w:rPr>
        <w:t xml:space="preserve">несоответствие поданного </w:t>
      </w:r>
      <w:r w:rsidR="0095554E">
        <w:rPr>
          <w:sz w:val="23"/>
          <w:szCs w:val="23"/>
        </w:rPr>
        <w:t xml:space="preserve">искового </w:t>
      </w:r>
      <w:r w:rsidRPr="0095554E">
        <w:rPr>
          <w:sz w:val="23"/>
          <w:szCs w:val="23"/>
        </w:rPr>
        <w:t>заявления общества с ограниченной ответственностью «Камнерез» (далее – истец, ООО «Камнерез») к Государственной администрации Григориопол</w:t>
      </w:r>
      <w:r w:rsidR="00BD14AE" w:rsidRPr="0095554E">
        <w:rPr>
          <w:sz w:val="23"/>
          <w:szCs w:val="23"/>
        </w:rPr>
        <w:t>ьского района и г. Григориополь</w:t>
      </w:r>
      <w:r w:rsidRPr="0095554E">
        <w:rPr>
          <w:sz w:val="23"/>
          <w:szCs w:val="23"/>
        </w:rPr>
        <w:t xml:space="preserve"> требованиям Арбитражного процессуального кодекса Приднестровской Молдавской Республики (далее - АПК ПМР).</w:t>
      </w:r>
    </w:p>
    <w:p w:rsidR="005F239A" w:rsidRPr="0095554E" w:rsidRDefault="005F239A" w:rsidP="005F239A">
      <w:pPr>
        <w:ind w:firstLine="720"/>
        <w:jc w:val="both"/>
        <w:rPr>
          <w:sz w:val="23"/>
          <w:szCs w:val="23"/>
        </w:rPr>
      </w:pPr>
      <w:r w:rsidRPr="0095554E">
        <w:rPr>
          <w:sz w:val="23"/>
          <w:szCs w:val="23"/>
        </w:rPr>
        <w:t>В силу пункта 1 статьи 21 Арбитражного процессуального кодекса Приднестровской Молдавской Республики (далее - АПК ПМР)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5F239A" w:rsidRPr="0095554E" w:rsidRDefault="005F239A" w:rsidP="005F239A">
      <w:pPr>
        <w:ind w:firstLine="709"/>
        <w:jc w:val="both"/>
        <w:rPr>
          <w:sz w:val="23"/>
          <w:szCs w:val="23"/>
        </w:rPr>
      </w:pPr>
      <w:r w:rsidRPr="0095554E">
        <w:rPr>
          <w:sz w:val="23"/>
          <w:szCs w:val="23"/>
        </w:rPr>
        <w:t xml:space="preserve">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Форма и содержание искового заявления определены статьей 91 Арбитражного процессуального кодекса Приднестровской Молдавской Республики. </w:t>
      </w:r>
    </w:p>
    <w:p w:rsidR="005F239A" w:rsidRPr="0095554E" w:rsidRDefault="005F239A" w:rsidP="005F239A">
      <w:pPr>
        <w:ind w:firstLine="709"/>
        <w:jc w:val="both"/>
        <w:rPr>
          <w:sz w:val="23"/>
          <w:szCs w:val="23"/>
        </w:rPr>
      </w:pPr>
      <w:r w:rsidRPr="0095554E">
        <w:rPr>
          <w:sz w:val="23"/>
          <w:szCs w:val="23"/>
        </w:rPr>
        <w:t>Подпункт к) пункта 2 статьи 91 АПК ПМР указывает на обязательное наличие перечня прилагаемых документов. Данная норма корреспондирует с подпунктом а) части первой статьи 93 АПК ПМР, согласно которой к исковому заявлению должен быть приложен документ, подтверждающий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представлении отсрочки, рассрочки государственной пошлины, об уменьшении ее размера.</w:t>
      </w:r>
    </w:p>
    <w:p w:rsidR="005F239A" w:rsidRPr="0095554E" w:rsidRDefault="005F239A" w:rsidP="005F239A">
      <w:pPr>
        <w:ind w:firstLine="709"/>
        <w:jc w:val="both"/>
        <w:rPr>
          <w:sz w:val="23"/>
          <w:szCs w:val="23"/>
        </w:rPr>
      </w:pPr>
      <w:r w:rsidRPr="0095554E">
        <w:rPr>
          <w:sz w:val="23"/>
          <w:szCs w:val="23"/>
        </w:rPr>
        <w:t xml:space="preserve">В силу пункта 4 статьи 80 АПК ПМР отсрочка и рассрочка государственной пошлины и уменьшение ее размера разрешается судом исходя из имущественного положения сторон. В соответствии с пунктом 7 Разъяснения Пленума Арбитражного суда Приднестровской Молдавской Республики № 1 от 21 сентября 2012 года «О некоторых вопросах применения законодательства о государственной пошлине» вопрос о предоставлении отсрочки или рассрочки государственной пошлины, уменьшении ее размера рассматривается на основании письменного ходатайства заинтересованной стороны на стадии принятия иска. В ходатайстве должны быть указаны обстоятельства, свидетельствующие о том, что имущественное </w:t>
      </w:r>
      <w:r w:rsidRPr="0095554E">
        <w:rPr>
          <w:sz w:val="23"/>
          <w:szCs w:val="23"/>
        </w:rPr>
        <w:lastRenderedPageBreak/>
        <w:t>положение истца не позволяет ему уплатить государственную пошлину в установленном размере на момент обращения в суд. Обстоятельства, на которые ссылается истец, должны быть подтверждены соответствующими доказательствами. Доказательствами, свидетельствующими об имущественном положении истца, могут быть:</w:t>
      </w:r>
    </w:p>
    <w:p w:rsidR="005F239A" w:rsidRPr="0095554E" w:rsidRDefault="005F239A" w:rsidP="005F239A">
      <w:pPr>
        <w:ind w:firstLine="709"/>
        <w:jc w:val="both"/>
        <w:rPr>
          <w:sz w:val="23"/>
          <w:szCs w:val="23"/>
        </w:rPr>
      </w:pPr>
      <w:r w:rsidRPr="0095554E">
        <w:rPr>
          <w:sz w:val="23"/>
          <w:szCs w:val="23"/>
        </w:rPr>
        <w:t>- справка из обслуживающего банка о наличии расчетного и иных счетов, а также о наличии на указанных счетах денежных средств по состоянию на последний день, предшествующий обращению в суд;</w:t>
      </w:r>
    </w:p>
    <w:p w:rsidR="005F239A" w:rsidRPr="0095554E" w:rsidRDefault="005F239A" w:rsidP="005F239A">
      <w:pPr>
        <w:ind w:firstLine="709"/>
        <w:jc w:val="both"/>
        <w:rPr>
          <w:sz w:val="23"/>
          <w:szCs w:val="23"/>
        </w:rPr>
      </w:pPr>
      <w:r w:rsidRPr="0095554E">
        <w:rPr>
          <w:sz w:val="23"/>
          <w:szCs w:val="23"/>
        </w:rPr>
        <w:t>- подтвержденные обслуживающим истца банком данные об отсутствии на соответствующем счете (счетах) денежных средств в размере, необходимом для уплаты государственной пошлины, а также общей сумме задолженности владельца счета (счетов) по исполнительным листам и платежным документам.</w:t>
      </w:r>
    </w:p>
    <w:p w:rsidR="005F239A" w:rsidRPr="0095554E" w:rsidRDefault="005F239A" w:rsidP="005F239A">
      <w:pPr>
        <w:ind w:firstLine="709"/>
        <w:jc w:val="both"/>
        <w:rPr>
          <w:sz w:val="23"/>
          <w:szCs w:val="23"/>
        </w:rPr>
      </w:pPr>
      <w:r w:rsidRPr="0095554E">
        <w:rPr>
          <w:sz w:val="23"/>
          <w:szCs w:val="23"/>
        </w:rPr>
        <w:t xml:space="preserve">При отсутствии таких документов, а также в случае представления документов, с момента выдачи которых до обращения в суд прошло </w:t>
      </w:r>
      <w:r w:rsidRPr="0095554E">
        <w:rPr>
          <w:sz w:val="23"/>
          <w:szCs w:val="23"/>
          <w:u w:val="single"/>
        </w:rPr>
        <w:t>более одного рабочего дня</w:t>
      </w:r>
      <w:r w:rsidRPr="0095554E">
        <w:rPr>
          <w:sz w:val="23"/>
          <w:szCs w:val="23"/>
        </w:rPr>
        <w:t>, в удовлетворении ходатайства должно быть отказано.</w:t>
      </w:r>
    </w:p>
    <w:p w:rsidR="00DB34A4" w:rsidRPr="0095554E" w:rsidRDefault="00DB34A4" w:rsidP="005F239A">
      <w:pPr>
        <w:ind w:firstLine="709"/>
        <w:jc w:val="both"/>
        <w:rPr>
          <w:sz w:val="23"/>
          <w:szCs w:val="23"/>
        </w:rPr>
      </w:pPr>
      <w:r w:rsidRPr="0095554E">
        <w:rPr>
          <w:sz w:val="23"/>
          <w:szCs w:val="23"/>
        </w:rPr>
        <w:t xml:space="preserve">Истец, заявляя ходатайство о предоставлении отсрочки уплаты государственной пошлины, представил суду справки из обслуживающего банка, датированные 26 января 2018 года. </w:t>
      </w:r>
    </w:p>
    <w:p w:rsidR="00DB34A4" w:rsidRPr="0095554E" w:rsidRDefault="00DB34A4" w:rsidP="005F239A">
      <w:pPr>
        <w:ind w:firstLine="709"/>
        <w:jc w:val="both"/>
        <w:rPr>
          <w:sz w:val="23"/>
          <w:szCs w:val="23"/>
        </w:rPr>
      </w:pPr>
      <w:r w:rsidRPr="0095554E">
        <w:rPr>
          <w:sz w:val="23"/>
          <w:szCs w:val="23"/>
        </w:rPr>
        <w:t>Принимая во внимание дату направления искового заявления в суд (дата почтового штемпеля на конверте 02.02.2018 года), суд констатирует несоблюдение части четвертой пункта 7 Разъяснения Пленума, что является основанием для отклонения ходатайства об отсрочке уплаты государственной пошлины.</w:t>
      </w:r>
    </w:p>
    <w:p w:rsidR="005F239A" w:rsidRPr="0095554E" w:rsidRDefault="005F239A" w:rsidP="005F239A">
      <w:pPr>
        <w:ind w:firstLine="709"/>
        <w:jc w:val="both"/>
        <w:rPr>
          <w:sz w:val="23"/>
          <w:szCs w:val="23"/>
        </w:rPr>
      </w:pPr>
      <w:r w:rsidRPr="0095554E">
        <w:rPr>
          <w:sz w:val="23"/>
          <w:szCs w:val="23"/>
        </w:rPr>
        <w:t>При отклонении ходатайства об отсрочке или рассрочке уплаты государственной пошлины исковое заявление на основании пункта 1 статьи 96-1 АПК ПМР подлежит оставлению без движения, а истцу устанавливается срок для уплаты государственной пошлины</w:t>
      </w:r>
      <w:r w:rsidR="00DB34A4" w:rsidRPr="0095554E">
        <w:rPr>
          <w:sz w:val="23"/>
          <w:szCs w:val="23"/>
        </w:rPr>
        <w:t>, либо предоставляется права заявления ходатайства об отсрочке с учетом требований положений приведенного Разъяснения Пленума № 1 от 21 сентября 2012 года.</w:t>
      </w:r>
    </w:p>
    <w:p w:rsidR="00BD14AE" w:rsidRPr="0095554E" w:rsidRDefault="00BD14AE" w:rsidP="00BD14AE">
      <w:pPr>
        <w:ind w:firstLine="709"/>
        <w:jc w:val="both"/>
        <w:rPr>
          <w:sz w:val="23"/>
          <w:szCs w:val="23"/>
        </w:rPr>
      </w:pPr>
      <w:r w:rsidRPr="0095554E">
        <w:rPr>
          <w:sz w:val="23"/>
          <w:szCs w:val="23"/>
        </w:rPr>
        <w:t xml:space="preserve">Арбитражным судом также установлено, что истцом не исполнены требования части четвертой статьи 93 АПК ПМР, в соответствии с которыми к заявлению прилагается его текст на электронном носителе. </w:t>
      </w:r>
    </w:p>
    <w:p w:rsidR="00BD14AE" w:rsidRPr="0095554E" w:rsidRDefault="00BD14AE" w:rsidP="00BD14AE">
      <w:pPr>
        <w:shd w:val="clear" w:color="auto" w:fill="FFFFFF"/>
        <w:ind w:firstLine="709"/>
        <w:jc w:val="both"/>
        <w:rPr>
          <w:sz w:val="23"/>
          <w:szCs w:val="23"/>
        </w:rPr>
      </w:pPr>
      <w:r w:rsidRPr="0095554E">
        <w:rPr>
          <w:sz w:val="23"/>
          <w:szCs w:val="23"/>
        </w:rPr>
        <w:t>Арбитражный суд Приднестровской Молдавской Республики, установив при рассмотрении вопроса о принятии искового заявления, что оно подано с нарушением требований, установленных статьями 91, 92, 93 АПК ПМР</w:t>
      </w:r>
      <w:r w:rsidR="0095554E" w:rsidRPr="0095554E">
        <w:rPr>
          <w:sz w:val="23"/>
          <w:szCs w:val="23"/>
        </w:rPr>
        <w:t>,</w:t>
      </w:r>
      <w:r w:rsidRPr="0095554E">
        <w:rPr>
          <w:sz w:val="23"/>
          <w:szCs w:val="23"/>
        </w:rPr>
        <w:t xml:space="preserve"> выносит определение об оставлении заявления без движения.</w:t>
      </w:r>
    </w:p>
    <w:p w:rsidR="00BD14AE" w:rsidRPr="0095554E" w:rsidRDefault="00BD14AE" w:rsidP="00BD14AE">
      <w:pPr>
        <w:ind w:firstLine="709"/>
        <w:jc w:val="both"/>
        <w:rPr>
          <w:sz w:val="23"/>
          <w:szCs w:val="23"/>
        </w:rPr>
      </w:pPr>
      <w:r w:rsidRPr="0095554E">
        <w:rPr>
          <w:sz w:val="23"/>
          <w:szCs w:val="23"/>
        </w:rPr>
        <w:t>Принимая во внимание изложенное, руководствуясь статьями 96-1, 128 Арбитражного процессуального кодекса Приднестровской Молдавской Республики, Арбитражный суд Приднестровской Молдавской Республики,</w:t>
      </w:r>
    </w:p>
    <w:p w:rsidR="0095554E" w:rsidRDefault="0095554E" w:rsidP="005F239A">
      <w:pPr>
        <w:ind w:firstLine="720"/>
        <w:jc w:val="center"/>
        <w:outlineLvl w:val="0"/>
        <w:rPr>
          <w:b/>
          <w:sz w:val="23"/>
          <w:szCs w:val="23"/>
        </w:rPr>
      </w:pPr>
    </w:p>
    <w:p w:rsidR="005F239A" w:rsidRPr="0095554E" w:rsidRDefault="005F239A" w:rsidP="005F239A">
      <w:pPr>
        <w:ind w:firstLine="720"/>
        <w:jc w:val="center"/>
        <w:outlineLvl w:val="0"/>
        <w:rPr>
          <w:b/>
          <w:sz w:val="23"/>
          <w:szCs w:val="23"/>
        </w:rPr>
      </w:pPr>
      <w:r w:rsidRPr="0095554E">
        <w:rPr>
          <w:b/>
          <w:sz w:val="23"/>
          <w:szCs w:val="23"/>
        </w:rPr>
        <w:t>О П Р Е Д Е Л И Л:</w:t>
      </w:r>
    </w:p>
    <w:p w:rsidR="005F239A" w:rsidRPr="0095554E" w:rsidRDefault="00BD14AE" w:rsidP="005F239A">
      <w:pPr>
        <w:numPr>
          <w:ilvl w:val="0"/>
          <w:numId w:val="5"/>
        </w:numPr>
        <w:ind w:left="0" w:firstLine="709"/>
        <w:jc w:val="both"/>
        <w:rPr>
          <w:sz w:val="23"/>
          <w:szCs w:val="23"/>
        </w:rPr>
      </w:pPr>
      <w:r w:rsidRPr="0095554E">
        <w:rPr>
          <w:sz w:val="23"/>
          <w:szCs w:val="23"/>
        </w:rPr>
        <w:t>Исковое з</w:t>
      </w:r>
      <w:r w:rsidR="005F239A" w:rsidRPr="0095554E">
        <w:rPr>
          <w:sz w:val="23"/>
          <w:szCs w:val="23"/>
        </w:rPr>
        <w:t>аявление общества с ограниченной ответственностью «</w:t>
      </w:r>
      <w:r w:rsidRPr="0095554E">
        <w:rPr>
          <w:sz w:val="23"/>
          <w:szCs w:val="23"/>
        </w:rPr>
        <w:t>Камнерез</w:t>
      </w:r>
      <w:r w:rsidR="005F239A" w:rsidRPr="0095554E">
        <w:rPr>
          <w:sz w:val="23"/>
          <w:szCs w:val="23"/>
        </w:rPr>
        <w:t>» оставить без движения.</w:t>
      </w:r>
    </w:p>
    <w:p w:rsidR="005F239A" w:rsidRPr="0095554E" w:rsidRDefault="005F239A" w:rsidP="005F239A">
      <w:pPr>
        <w:numPr>
          <w:ilvl w:val="0"/>
          <w:numId w:val="5"/>
        </w:numPr>
        <w:ind w:left="0" w:firstLine="709"/>
        <w:jc w:val="both"/>
        <w:rPr>
          <w:sz w:val="23"/>
          <w:szCs w:val="23"/>
        </w:rPr>
      </w:pPr>
      <w:r w:rsidRPr="0095554E">
        <w:rPr>
          <w:sz w:val="23"/>
          <w:szCs w:val="23"/>
        </w:rPr>
        <w:t>Предложить обществу с ограниченной ответственностью «</w:t>
      </w:r>
      <w:r w:rsidR="00BD14AE" w:rsidRPr="0095554E">
        <w:rPr>
          <w:sz w:val="23"/>
          <w:szCs w:val="23"/>
        </w:rPr>
        <w:t>Камнерез</w:t>
      </w:r>
      <w:r w:rsidRPr="0095554E">
        <w:rPr>
          <w:sz w:val="23"/>
          <w:szCs w:val="23"/>
        </w:rPr>
        <w:t xml:space="preserve">» в срок </w:t>
      </w:r>
      <w:r w:rsidRPr="0095554E">
        <w:rPr>
          <w:b/>
          <w:sz w:val="23"/>
          <w:szCs w:val="23"/>
        </w:rPr>
        <w:t xml:space="preserve">до </w:t>
      </w:r>
      <w:r w:rsidR="00BD14AE" w:rsidRPr="0095554E">
        <w:rPr>
          <w:b/>
          <w:sz w:val="23"/>
          <w:szCs w:val="23"/>
        </w:rPr>
        <w:t>1</w:t>
      </w:r>
      <w:r w:rsidR="0095554E">
        <w:rPr>
          <w:b/>
          <w:sz w:val="23"/>
          <w:szCs w:val="23"/>
        </w:rPr>
        <w:t>7</w:t>
      </w:r>
      <w:r w:rsidR="00BD14AE" w:rsidRPr="0095554E">
        <w:rPr>
          <w:b/>
          <w:sz w:val="23"/>
          <w:szCs w:val="23"/>
        </w:rPr>
        <w:t xml:space="preserve"> февраля 2018</w:t>
      </w:r>
      <w:r w:rsidRPr="0095554E">
        <w:rPr>
          <w:b/>
          <w:sz w:val="23"/>
          <w:szCs w:val="23"/>
        </w:rPr>
        <w:t xml:space="preserve"> года включительно</w:t>
      </w:r>
      <w:r w:rsidRPr="0095554E">
        <w:rPr>
          <w:sz w:val="23"/>
          <w:szCs w:val="23"/>
        </w:rPr>
        <w:t xml:space="preserve"> устранить допущенные нарушения Арбитражного процессуального кодекса Приднестровской Молдавской Республики.</w:t>
      </w:r>
    </w:p>
    <w:p w:rsidR="005F239A" w:rsidRPr="0095554E" w:rsidRDefault="005F239A" w:rsidP="005F239A">
      <w:pPr>
        <w:numPr>
          <w:ilvl w:val="0"/>
          <w:numId w:val="5"/>
        </w:numPr>
        <w:ind w:left="0" w:firstLine="709"/>
        <w:jc w:val="both"/>
        <w:rPr>
          <w:sz w:val="23"/>
          <w:szCs w:val="23"/>
        </w:rPr>
      </w:pPr>
      <w:r w:rsidRPr="0095554E">
        <w:rPr>
          <w:sz w:val="23"/>
          <w:szCs w:val="23"/>
        </w:rPr>
        <w:t>Разъяснить обществ</w:t>
      </w:r>
      <w:r w:rsidR="00BD14AE" w:rsidRPr="0095554E">
        <w:rPr>
          <w:sz w:val="23"/>
          <w:szCs w:val="23"/>
        </w:rPr>
        <w:t>у</w:t>
      </w:r>
      <w:r w:rsidRPr="0095554E">
        <w:rPr>
          <w:sz w:val="23"/>
          <w:szCs w:val="23"/>
        </w:rPr>
        <w:t xml:space="preserve"> с ограниченной ответственностью «</w:t>
      </w:r>
      <w:r w:rsidR="00BD14AE" w:rsidRPr="0095554E">
        <w:rPr>
          <w:sz w:val="23"/>
          <w:szCs w:val="23"/>
        </w:rPr>
        <w:t>Камнерез</w:t>
      </w:r>
      <w:r w:rsidRPr="0095554E">
        <w:rPr>
          <w:sz w:val="23"/>
          <w:szCs w:val="23"/>
        </w:rPr>
        <w:t>»,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5F239A" w:rsidRPr="0095554E" w:rsidRDefault="005F239A" w:rsidP="005F239A">
      <w:pPr>
        <w:ind w:left="709"/>
        <w:jc w:val="both"/>
        <w:outlineLvl w:val="0"/>
        <w:rPr>
          <w:sz w:val="23"/>
          <w:szCs w:val="23"/>
        </w:rPr>
      </w:pPr>
    </w:p>
    <w:p w:rsidR="005F239A" w:rsidRPr="0095554E" w:rsidRDefault="005F239A" w:rsidP="005F239A">
      <w:pPr>
        <w:ind w:left="709"/>
        <w:jc w:val="both"/>
        <w:outlineLvl w:val="0"/>
        <w:rPr>
          <w:sz w:val="23"/>
          <w:szCs w:val="23"/>
        </w:rPr>
      </w:pPr>
      <w:r w:rsidRPr="0095554E">
        <w:rPr>
          <w:sz w:val="23"/>
          <w:szCs w:val="23"/>
        </w:rPr>
        <w:t xml:space="preserve">Определение не обжалуется. </w:t>
      </w:r>
    </w:p>
    <w:p w:rsidR="005F239A" w:rsidRPr="0095554E" w:rsidRDefault="005F239A" w:rsidP="005F239A">
      <w:pPr>
        <w:ind w:left="709"/>
        <w:jc w:val="both"/>
        <w:rPr>
          <w:sz w:val="23"/>
          <w:szCs w:val="23"/>
        </w:rPr>
      </w:pPr>
    </w:p>
    <w:p w:rsidR="005F239A" w:rsidRPr="0095554E" w:rsidRDefault="005F239A" w:rsidP="005F239A">
      <w:pPr>
        <w:jc w:val="both"/>
        <w:outlineLvl w:val="0"/>
        <w:rPr>
          <w:b/>
          <w:sz w:val="23"/>
          <w:szCs w:val="23"/>
        </w:rPr>
      </w:pPr>
      <w:r w:rsidRPr="0095554E">
        <w:rPr>
          <w:b/>
          <w:sz w:val="23"/>
          <w:szCs w:val="23"/>
        </w:rPr>
        <w:t xml:space="preserve">Судья Арбитражного суда </w:t>
      </w:r>
    </w:p>
    <w:p w:rsidR="00E265BC" w:rsidRDefault="005F239A" w:rsidP="0095554E">
      <w:pPr>
        <w:jc w:val="both"/>
        <w:rPr>
          <w:sz w:val="28"/>
          <w:szCs w:val="28"/>
        </w:rPr>
      </w:pPr>
      <w:r w:rsidRPr="0095554E">
        <w:rPr>
          <w:b/>
          <w:sz w:val="23"/>
          <w:szCs w:val="23"/>
        </w:rPr>
        <w:t xml:space="preserve">Приднестровской Молдавской Республики                                                 Т. И. Цыганаш </w:t>
      </w:r>
    </w:p>
    <w:sectPr w:rsidR="00E265BC" w:rsidSect="00D04AEB">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4A4" w:rsidRDefault="00DB34A4" w:rsidP="00747910">
      <w:r>
        <w:separator/>
      </w:r>
    </w:p>
  </w:endnote>
  <w:endnote w:type="continuationSeparator" w:id="1">
    <w:p w:rsidR="00DB34A4" w:rsidRDefault="00DB34A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A4" w:rsidRDefault="00DB34A4">
    <w:pPr>
      <w:pStyle w:val="a7"/>
      <w:jc w:val="right"/>
    </w:pPr>
    <w:fldSimple w:instr=" PAGE   \* MERGEFORMAT ">
      <w:r w:rsidR="00A30454">
        <w:rPr>
          <w:noProof/>
        </w:rPr>
        <w:t>1</w:t>
      </w:r>
    </w:fldSimple>
  </w:p>
  <w:p w:rsidR="00DB34A4" w:rsidRDefault="00DB34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4A4" w:rsidRDefault="00DB34A4" w:rsidP="00747910">
      <w:r>
        <w:separator/>
      </w:r>
    </w:p>
  </w:footnote>
  <w:footnote w:type="continuationSeparator" w:id="1">
    <w:p w:rsidR="00DB34A4" w:rsidRDefault="00DB34A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823B7"/>
    <w:rsid w:val="001A48C1"/>
    <w:rsid w:val="001C1B4F"/>
    <w:rsid w:val="001D2264"/>
    <w:rsid w:val="00212E13"/>
    <w:rsid w:val="002431E5"/>
    <w:rsid w:val="0026059C"/>
    <w:rsid w:val="002935E2"/>
    <w:rsid w:val="002D2926"/>
    <w:rsid w:val="00365A17"/>
    <w:rsid w:val="00381CF3"/>
    <w:rsid w:val="003A617A"/>
    <w:rsid w:val="003F211F"/>
    <w:rsid w:val="00424065"/>
    <w:rsid w:val="00435D1A"/>
    <w:rsid w:val="00444EB1"/>
    <w:rsid w:val="004A01C7"/>
    <w:rsid w:val="004B0F41"/>
    <w:rsid w:val="004C56EA"/>
    <w:rsid w:val="004C701C"/>
    <w:rsid w:val="004F7B6D"/>
    <w:rsid w:val="0051667D"/>
    <w:rsid w:val="005A6736"/>
    <w:rsid w:val="005E529D"/>
    <w:rsid w:val="005F239A"/>
    <w:rsid w:val="00683558"/>
    <w:rsid w:val="00694E57"/>
    <w:rsid w:val="006C6D2B"/>
    <w:rsid w:val="006E570D"/>
    <w:rsid w:val="00710036"/>
    <w:rsid w:val="007119B8"/>
    <w:rsid w:val="00717526"/>
    <w:rsid w:val="00736754"/>
    <w:rsid w:val="00747910"/>
    <w:rsid w:val="0075091C"/>
    <w:rsid w:val="007A51C3"/>
    <w:rsid w:val="007E508F"/>
    <w:rsid w:val="00813A13"/>
    <w:rsid w:val="008273B9"/>
    <w:rsid w:val="00833454"/>
    <w:rsid w:val="008A11D6"/>
    <w:rsid w:val="00900716"/>
    <w:rsid w:val="00904994"/>
    <w:rsid w:val="00917458"/>
    <w:rsid w:val="00926900"/>
    <w:rsid w:val="0095554E"/>
    <w:rsid w:val="00997222"/>
    <w:rsid w:val="009977D8"/>
    <w:rsid w:val="009E3D68"/>
    <w:rsid w:val="009F22E5"/>
    <w:rsid w:val="00A032B6"/>
    <w:rsid w:val="00A30454"/>
    <w:rsid w:val="00A42F10"/>
    <w:rsid w:val="00A654E1"/>
    <w:rsid w:val="00A76266"/>
    <w:rsid w:val="00AB326C"/>
    <w:rsid w:val="00AC6E73"/>
    <w:rsid w:val="00AE51C6"/>
    <w:rsid w:val="00AF591D"/>
    <w:rsid w:val="00B76C06"/>
    <w:rsid w:val="00BD14AE"/>
    <w:rsid w:val="00BE7BA6"/>
    <w:rsid w:val="00C1131C"/>
    <w:rsid w:val="00C25D86"/>
    <w:rsid w:val="00C3734A"/>
    <w:rsid w:val="00C43442"/>
    <w:rsid w:val="00C77370"/>
    <w:rsid w:val="00CA1791"/>
    <w:rsid w:val="00D04AEB"/>
    <w:rsid w:val="00D96E34"/>
    <w:rsid w:val="00DB34A4"/>
    <w:rsid w:val="00E265BC"/>
    <w:rsid w:val="00E37FF1"/>
    <w:rsid w:val="00E51F48"/>
    <w:rsid w:val="00E6678D"/>
    <w:rsid w:val="00E67E5E"/>
    <w:rsid w:val="00E90DB1"/>
    <w:rsid w:val="00E92C98"/>
    <w:rsid w:val="00E975E9"/>
    <w:rsid w:val="00ED67B4"/>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6368</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2018-02-05T15:04:00Z</cp:lastPrinted>
  <dcterms:created xsi:type="dcterms:W3CDTF">2018-02-05T15:05:00Z</dcterms:created>
  <dcterms:modified xsi:type="dcterms:W3CDTF">2018-02-05T15:05:00Z</dcterms:modified>
</cp:coreProperties>
</file>