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CA0E1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2C0482">
      <w:pPr>
        <w:jc w:val="center"/>
        <w:outlineLvl w:val="0"/>
        <w:rPr>
          <w:b/>
          <w:sz w:val="28"/>
          <w:szCs w:val="28"/>
        </w:rPr>
      </w:pPr>
      <w:r w:rsidRPr="001823B7">
        <w:rPr>
          <w:b/>
          <w:sz w:val="28"/>
          <w:szCs w:val="28"/>
        </w:rPr>
        <w:t>АРБИТРАЖНЫЙ СУД</w:t>
      </w:r>
    </w:p>
    <w:p w:rsidR="00A032B6" w:rsidRPr="001823B7" w:rsidRDefault="00A032B6" w:rsidP="002C0482">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2C0482">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C0482">
      <w:pPr>
        <w:ind w:left="-181"/>
        <w:jc w:val="center"/>
        <w:outlineLvl w:val="0"/>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2C0482">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2C0482">
      <w:pPr>
        <w:ind w:left="-181"/>
        <w:jc w:val="center"/>
        <w:outlineLvl w:val="0"/>
        <w:rPr>
          <w:b/>
        </w:rPr>
      </w:pPr>
      <w:r>
        <w:rPr>
          <w:b/>
        </w:rPr>
        <w:t>Р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1823B7" w:rsidRDefault="008848DF" w:rsidP="00AC054E">
            <w:pPr>
              <w:rPr>
                <w:rFonts w:eastAsia="Calibri"/>
                <w:bCs/>
                <w:sz w:val="20"/>
                <w:szCs w:val="20"/>
              </w:rPr>
            </w:pPr>
            <w:r w:rsidRPr="001823B7">
              <w:rPr>
                <w:rFonts w:eastAsia="Calibri"/>
                <w:sz w:val="20"/>
                <w:szCs w:val="20"/>
              </w:rPr>
              <w:t>«</w:t>
            </w:r>
            <w:r w:rsidR="00FF69C3">
              <w:rPr>
                <w:rFonts w:eastAsia="Calibri"/>
                <w:sz w:val="20"/>
                <w:szCs w:val="20"/>
                <w:u w:val="single"/>
              </w:rPr>
              <w:t xml:space="preserve">  </w:t>
            </w:r>
            <w:r w:rsidR="00AC054E">
              <w:rPr>
                <w:rFonts w:eastAsia="Calibri"/>
                <w:sz w:val="20"/>
                <w:szCs w:val="20"/>
                <w:u w:val="single"/>
              </w:rPr>
              <w:t>26</w:t>
            </w:r>
            <w:r w:rsidR="00330EAC">
              <w:rPr>
                <w:rFonts w:eastAsia="Calibri"/>
                <w:sz w:val="20"/>
                <w:szCs w:val="20"/>
                <w:u w:val="single"/>
              </w:rPr>
              <w:t xml:space="preserve"> </w:t>
            </w:r>
            <w:r w:rsidR="00FF69C3">
              <w:rPr>
                <w:rFonts w:eastAsia="Calibri"/>
                <w:sz w:val="20"/>
                <w:szCs w:val="20"/>
                <w:u w:val="single"/>
              </w:rPr>
              <w:t xml:space="preserve">»     </w:t>
            </w:r>
            <w:r w:rsidR="00AC054E">
              <w:rPr>
                <w:rFonts w:eastAsia="Calibri"/>
                <w:sz w:val="20"/>
                <w:szCs w:val="20"/>
                <w:u w:val="single"/>
              </w:rPr>
              <w:t>апреля</w:t>
            </w:r>
            <w:r w:rsidR="00FF69C3">
              <w:rPr>
                <w:rFonts w:eastAsia="Calibri"/>
                <w:sz w:val="20"/>
                <w:szCs w:val="20"/>
                <w:u w:val="single"/>
              </w:rPr>
              <w:t xml:space="preserve">        2018 </w:t>
            </w:r>
            <w:r w:rsidRPr="001823B7">
              <w:rPr>
                <w:rFonts w:eastAsia="Calibri"/>
                <w:bCs/>
                <w:sz w:val="20"/>
                <w:szCs w:val="20"/>
              </w:rPr>
              <w:t>г.</w:t>
            </w:r>
          </w:p>
        </w:tc>
        <w:tc>
          <w:tcPr>
            <w:tcW w:w="4971" w:type="dxa"/>
            <w:gridSpan w:val="3"/>
          </w:tcPr>
          <w:p w:rsidR="008848DF" w:rsidRPr="00FF69C3" w:rsidRDefault="008848DF" w:rsidP="00FF69C3">
            <w:pPr>
              <w:rPr>
                <w:rFonts w:eastAsia="Calibri"/>
                <w:b/>
                <w:bCs/>
                <w:sz w:val="20"/>
                <w:szCs w:val="20"/>
                <w:u w:val="single"/>
              </w:rPr>
            </w:pP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FF69C3">
              <w:rPr>
                <w:rFonts w:eastAsia="Calibri"/>
                <w:sz w:val="20"/>
                <w:szCs w:val="20"/>
                <w:u w:val="single"/>
              </w:rPr>
              <w:t xml:space="preserve">      </w:t>
            </w:r>
            <w:r w:rsidR="00AC054E">
              <w:rPr>
                <w:rFonts w:eastAsia="Calibri"/>
                <w:sz w:val="20"/>
                <w:szCs w:val="20"/>
                <w:u w:val="single"/>
              </w:rPr>
              <w:t>74</w:t>
            </w:r>
            <w:r w:rsidR="00FF69C3">
              <w:rPr>
                <w:rFonts w:eastAsia="Calibri"/>
                <w:sz w:val="20"/>
                <w:szCs w:val="20"/>
                <w:u w:val="single"/>
              </w:rPr>
              <w:t>/18-06</w:t>
            </w: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AB5A85" w:rsidRDefault="00717526" w:rsidP="00717526">
      <w:pPr>
        <w:jc w:val="right"/>
      </w:pPr>
      <w:r w:rsidRPr="00AB5A85">
        <w:t xml:space="preserve">  </w:t>
      </w:r>
    </w:p>
    <w:p w:rsidR="00AC054E" w:rsidRPr="00AC054E" w:rsidRDefault="00714867" w:rsidP="00AC054E">
      <w:pPr>
        <w:pStyle w:val="ConsPlusNonformat"/>
        <w:ind w:firstLine="709"/>
        <w:jc w:val="both"/>
        <w:rPr>
          <w:rFonts w:ascii="Times New Roman" w:hAnsi="Times New Roman" w:cs="Times New Roman"/>
          <w:sz w:val="24"/>
          <w:szCs w:val="24"/>
        </w:rPr>
      </w:pPr>
      <w:r w:rsidRPr="00714867">
        <w:rPr>
          <w:rFonts w:ascii="Times New Roman" w:hAnsi="Times New Roman" w:cs="Times New Roman"/>
          <w:sz w:val="24"/>
          <w:szCs w:val="24"/>
        </w:rPr>
        <w:t xml:space="preserve">Арбитражный суд Приднестровской Молдавской Республики в составе судьи </w:t>
      </w:r>
      <w:r w:rsidRPr="00714867">
        <w:rPr>
          <w:rFonts w:ascii="Times New Roman" w:hAnsi="Times New Roman" w:cs="Times New Roman"/>
          <w:sz w:val="24"/>
          <w:szCs w:val="24"/>
        </w:rPr>
        <w:br/>
        <w:t>Т. И. Цыганаш, рассм</w:t>
      </w:r>
      <w:r>
        <w:rPr>
          <w:rFonts w:ascii="Times New Roman" w:hAnsi="Times New Roman" w:cs="Times New Roman"/>
          <w:sz w:val="24"/>
          <w:szCs w:val="24"/>
        </w:rPr>
        <w:t>отрев</w:t>
      </w:r>
      <w:r w:rsidRPr="00714867">
        <w:rPr>
          <w:rFonts w:ascii="Times New Roman" w:hAnsi="Times New Roman" w:cs="Times New Roman"/>
          <w:sz w:val="24"/>
          <w:szCs w:val="24"/>
        </w:rPr>
        <w:t xml:space="preserve"> в открытом </w:t>
      </w:r>
      <w:r w:rsidRPr="00AC054E">
        <w:rPr>
          <w:rFonts w:ascii="Times New Roman" w:hAnsi="Times New Roman" w:cs="Times New Roman"/>
          <w:sz w:val="24"/>
          <w:szCs w:val="24"/>
        </w:rPr>
        <w:t xml:space="preserve">судебном заседании </w:t>
      </w:r>
      <w:r w:rsidR="00AC054E" w:rsidRPr="00AC054E">
        <w:rPr>
          <w:rFonts w:ascii="Times New Roman" w:hAnsi="Times New Roman" w:cs="Times New Roman"/>
          <w:sz w:val="24"/>
          <w:szCs w:val="24"/>
        </w:rPr>
        <w:t>исковое заявление Фонда государственного резерва Приднестровской Молдавской Республики (г. Тирасполь, ул.</w:t>
      </w:r>
      <w:r w:rsidR="00990B4A">
        <w:rPr>
          <w:rFonts w:ascii="Times New Roman" w:hAnsi="Times New Roman" w:cs="Times New Roman"/>
          <w:sz w:val="24"/>
          <w:szCs w:val="24"/>
        </w:rPr>
        <w:t xml:space="preserve"> </w:t>
      </w:r>
      <w:r w:rsidR="00AC054E" w:rsidRPr="00AC054E">
        <w:rPr>
          <w:rFonts w:ascii="Times New Roman" w:hAnsi="Times New Roman" w:cs="Times New Roman"/>
          <w:sz w:val="24"/>
          <w:szCs w:val="24"/>
        </w:rPr>
        <w:t xml:space="preserve">25 Октября, 101) к обществу с ограниченной ответственностью «Калиюга Плюс» </w:t>
      </w:r>
      <w:r w:rsidR="00990B4A">
        <w:rPr>
          <w:rFonts w:ascii="Times New Roman" w:hAnsi="Times New Roman" w:cs="Times New Roman"/>
          <w:sz w:val="24"/>
          <w:szCs w:val="24"/>
        </w:rPr>
        <w:br/>
      </w:r>
      <w:r w:rsidR="00AC054E" w:rsidRPr="00AC054E">
        <w:rPr>
          <w:rFonts w:ascii="Times New Roman" w:hAnsi="Times New Roman" w:cs="Times New Roman"/>
          <w:sz w:val="24"/>
          <w:szCs w:val="24"/>
        </w:rPr>
        <w:t xml:space="preserve">(г. Тирасполь, ул. Профсоюзов, д. 53) о взыскании пени, в присутствии представителя  Фонда государственного резерва Приднестровской Молдавской Республики – </w:t>
      </w:r>
      <w:r w:rsidR="00AC054E" w:rsidRPr="00AC054E">
        <w:rPr>
          <w:rFonts w:ascii="Times New Roman" w:hAnsi="Times New Roman" w:cs="Times New Roman"/>
          <w:sz w:val="24"/>
          <w:szCs w:val="24"/>
        </w:rPr>
        <w:br/>
        <w:t>А.В. Тищенко по доверенности от 08 января 2018 года,</w:t>
      </w:r>
    </w:p>
    <w:p w:rsidR="00AC054E" w:rsidRPr="00AC054E" w:rsidRDefault="00AC054E" w:rsidP="00AC054E">
      <w:pPr>
        <w:tabs>
          <w:tab w:val="left" w:pos="9214"/>
        </w:tabs>
        <w:ind w:right="-1" w:firstLine="720"/>
        <w:jc w:val="center"/>
        <w:rPr>
          <w:b/>
        </w:rPr>
      </w:pPr>
    </w:p>
    <w:p w:rsidR="00AC054E" w:rsidRPr="00AC054E" w:rsidRDefault="00AC054E" w:rsidP="00AC054E">
      <w:pPr>
        <w:tabs>
          <w:tab w:val="left" w:pos="9214"/>
        </w:tabs>
        <w:ind w:right="-1" w:firstLine="720"/>
        <w:jc w:val="center"/>
        <w:rPr>
          <w:b/>
        </w:rPr>
      </w:pPr>
      <w:r w:rsidRPr="00AC054E">
        <w:rPr>
          <w:b/>
        </w:rPr>
        <w:t>У С Т А Н О В И Л:</w:t>
      </w:r>
    </w:p>
    <w:p w:rsidR="00AC054E" w:rsidRPr="00AC054E" w:rsidRDefault="00AC054E" w:rsidP="00AC054E">
      <w:pPr>
        <w:tabs>
          <w:tab w:val="left" w:pos="9214"/>
        </w:tabs>
        <w:ind w:right="-1" w:firstLine="720"/>
        <w:jc w:val="center"/>
        <w:rPr>
          <w:b/>
        </w:rPr>
      </w:pPr>
    </w:p>
    <w:p w:rsidR="00AC054E" w:rsidRPr="00AC054E" w:rsidRDefault="00AC054E" w:rsidP="00AC054E">
      <w:pPr>
        <w:pStyle w:val="af3"/>
        <w:ind w:right="-1"/>
        <w:jc w:val="both"/>
        <w:rPr>
          <w:rStyle w:val="11"/>
          <w:sz w:val="24"/>
          <w:szCs w:val="24"/>
        </w:rPr>
      </w:pPr>
      <w:r w:rsidRPr="00AC054E">
        <w:rPr>
          <w:rStyle w:val="11"/>
          <w:sz w:val="24"/>
          <w:szCs w:val="24"/>
        </w:rPr>
        <w:t xml:space="preserve">определением Арбитражного суда Приднестровской Молдавской Республики (далее – Арбитражный суд, суд) от 6 февраля 2018 года исковое заявление </w:t>
      </w:r>
      <w:r w:rsidRPr="00AC054E">
        <w:rPr>
          <w:szCs w:val="24"/>
        </w:rPr>
        <w:t xml:space="preserve">Фонда государственного резерва Приднестровской Молдавской Республики (далее – истец, Фонд) к обществу с ограниченной ответственностью «Калиюга Плюс» (далее – ответчик, ООО «Калиюга Плюс») о взыскании пени </w:t>
      </w:r>
      <w:r w:rsidRPr="00AC054E">
        <w:rPr>
          <w:rStyle w:val="11"/>
          <w:sz w:val="24"/>
          <w:szCs w:val="24"/>
        </w:rPr>
        <w:t xml:space="preserve">принято к производству суда, рассмотрение дела назначено на 1 марта 2018 года. </w:t>
      </w:r>
    </w:p>
    <w:p w:rsidR="00714867" w:rsidRPr="003773D0" w:rsidRDefault="00714867" w:rsidP="00714867">
      <w:pPr>
        <w:ind w:firstLine="709"/>
        <w:jc w:val="both"/>
      </w:pPr>
      <w:r w:rsidRPr="00AC054E">
        <w:t xml:space="preserve">Проверив в порядке статьи 104 АПК ПМР явку лиц, участвующих в деле, суд установил отсутствие ответчика. </w:t>
      </w:r>
      <w:r w:rsidR="00AC054E" w:rsidRPr="00AC054E">
        <w:t>Арбитражный суд, проверяя надлежащее извещение ответчика о времени и месте рассмотрения дела констатирует в протоколе судебного заседания под протокольным определением об отложении</w:t>
      </w:r>
      <w:r w:rsidR="00AC054E">
        <w:t xml:space="preserve"> рассмотрения дела по ходатайству ответчика, наличие подписи представителя ответчика, свидетельствующей об осведомленности последнего о рассмотрении дела 26 апреля 2018 года в 14-00 в здании Арбитражного суда каб. 201.</w:t>
      </w:r>
      <w:r w:rsidRPr="003773D0">
        <w:t xml:space="preserve"> В соответствии с пунктом 2 статьи 108 АПК ПМР при неявке в заседание арбитражного суда ответчика, надлежащим образом извещенного о времени и месте разбирательства дела, спор может быть разрешен в его отсутствие. </w:t>
      </w:r>
    </w:p>
    <w:p w:rsidR="006975ED" w:rsidRPr="004236A4" w:rsidRDefault="006975ED" w:rsidP="006975ED">
      <w:pPr>
        <w:tabs>
          <w:tab w:val="left" w:pos="9214"/>
        </w:tabs>
        <w:ind w:firstLine="567"/>
        <w:jc w:val="both"/>
      </w:pPr>
      <w:r w:rsidRPr="004236A4">
        <w:t xml:space="preserve">Дело рассмотрено по существу в судебном заседании, состоявшемся </w:t>
      </w:r>
      <w:r w:rsidR="00410EE2">
        <w:t>2</w:t>
      </w:r>
      <w:r w:rsidR="00990B4A">
        <w:t>8</w:t>
      </w:r>
      <w:r w:rsidR="00AC054E">
        <w:t xml:space="preserve"> апреля </w:t>
      </w:r>
      <w:r w:rsidRPr="004236A4">
        <w:t>2018 года, в котором в соответствии со статьей 122</w:t>
      </w:r>
      <w:r w:rsidR="00FF69C3">
        <w:t xml:space="preserve"> АПК ПМР</w:t>
      </w:r>
      <w:r w:rsidRPr="004236A4">
        <w:t xml:space="preserve"> объявлена резолютивная часть решения. Мотивированное решение изготовлено</w:t>
      </w:r>
      <w:r w:rsidR="00410EE2">
        <w:t xml:space="preserve"> </w:t>
      </w:r>
      <w:r w:rsidR="00AC054E">
        <w:t>27 апреля</w:t>
      </w:r>
      <w:r w:rsidRPr="004236A4">
        <w:t xml:space="preserve"> 2018 года.</w:t>
      </w:r>
    </w:p>
    <w:p w:rsidR="00AC054E" w:rsidRDefault="006975ED" w:rsidP="003469FD">
      <w:pPr>
        <w:spacing w:line="225" w:lineRule="atLeast"/>
        <w:ind w:firstLine="567"/>
        <w:jc w:val="both"/>
      </w:pPr>
      <w:r w:rsidRPr="004236A4">
        <w:rPr>
          <w:b/>
        </w:rPr>
        <w:t>Представитель</w:t>
      </w:r>
      <w:r w:rsidR="00714867">
        <w:rPr>
          <w:b/>
        </w:rPr>
        <w:t xml:space="preserve"> </w:t>
      </w:r>
      <w:r w:rsidR="00AC054E" w:rsidRPr="00AC054E">
        <w:rPr>
          <w:b/>
        </w:rPr>
        <w:t>Фонда государственного резерва Приднестровской Молдавской Республики</w:t>
      </w:r>
      <w:r w:rsidR="00AC054E" w:rsidRPr="003469FD">
        <w:t xml:space="preserve"> </w:t>
      </w:r>
      <w:r w:rsidR="00AC054E">
        <w:t xml:space="preserve">поддержал доводы по основаниям, изложенным в заявлении, руководствуясь статьями 346, 347, 349 ГК ПМР, статьей 14-4 Закона ПМР «О Фонде государственного резерва Приднестровской Молдавской Республики» взыскать с ООО «Калиюга Плюс» в </w:t>
      </w:r>
      <w:r w:rsidR="00AC054E">
        <w:lastRenderedPageBreak/>
        <w:t xml:space="preserve">пользу Фонда государственного резерва ПМР пеню за несвоевременный возврат займа в размере 446 164,29 росс. руб., что эквивалентно </w:t>
      </w:r>
      <w:r w:rsidR="00EC23B0">
        <w:t xml:space="preserve"> 126 487,58 руб. ПМР.</w:t>
      </w:r>
    </w:p>
    <w:p w:rsidR="003469FD" w:rsidRPr="000745FD" w:rsidRDefault="003469FD" w:rsidP="003469FD">
      <w:pPr>
        <w:tabs>
          <w:tab w:val="left" w:pos="9498"/>
        </w:tabs>
        <w:ind w:firstLine="567"/>
        <w:jc w:val="both"/>
      </w:pPr>
      <w:r w:rsidRPr="000745FD">
        <w:rPr>
          <w:b/>
        </w:rPr>
        <w:t xml:space="preserve">Ответчик </w:t>
      </w:r>
      <w:r w:rsidRPr="000745FD">
        <w:t>в</w:t>
      </w:r>
      <w:r w:rsidR="00EC23B0">
        <w:t xml:space="preserve"> настоящее судебное </w:t>
      </w:r>
      <w:r w:rsidRPr="000745FD">
        <w:t xml:space="preserve">заседание не явился, </w:t>
      </w:r>
      <w:r w:rsidR="00EC23B0">
        <w:t xml:space="preserve">письменный </w:t>
      </w:r>
      <w:r w:rsidRPr="000745FD">
        <w:t>отзыв и на иск не представил.</w:t>
      </w:r>
      <w:r w:rsidR="00EC23B0">
        <w:t xml:space="preserve"> В судебных заседаниях ответчик против заявленных требований возражал, поясняя причину возраже</w:t>
      </w:r>
      <w:r w:rsidR="0082137D">
        <w:t>ния частичным погашением займа</w:t>
      </w:r>
      <w:r w:rsidR="00EC23B0">
        <w:t>.</w:t>
      </w:r>
    </w:p>
    <w:p w:rsidR="002B13F8" w:rsidRDefault="006975ED" w:rsidP="003469FD">
      <w:pPr>
        <w:tabs>
          <w:tab w:val="left" w:pos="9214"/>
        </w:tabs>
        <w:ind w:firstLine="567"/>
        <w:jc w:val="both"/>
      </w:pPr>
      <w:r w:rsidRPr="004236A4">
        <w:rPr>
          <w:b/>
        </w:rPr>
        <w:t xml:space="preserve">Арбитражный суд, </w:t>
      </w:r>
      <w:r w:rsidRPr="004236A4">
        <w:t>заслушав лиц, участвующих в деле, исследовав</w:t>
      </w:r>
      <w:r w:rsidR="00682B09">
        <w:t xml:space="preserve"> представленные доказательства, </w:t>
      </w:r>
      <w:r w:rsidR="002B13F8" w:rsidRPr="00B86B86">
        <w:t xml:space="preserve">изучив и оценив </w:t>
      </w:r>
      <w:r w:rsidR="003469FD">
        <w:t>их</w:t>
      </w:r>
      <w:r w:rsidR="002B13F8" w:rsidRPr="00B86B86">
        <w:t xml:space="preserve">, </w:t>
      </w:r>
      <w:r w:rsidR="00682B09">
        <w:t xml:space="preserve">установил следующие </w:t>
      </w:r>
      <w:r w:rsidR="002B13F8" w:rsidRPr="00B86B86">
        <w:t>обстоятельства.</w:t>
      </w:r>
    </w:p>
    <w:p w:rsidR="0082137D" w:rsidRDefault="00D17895" w:rsidP="00D17895">
      <w:pPr>
        <w:tabs>
          <w:tab w:val="left" w:pos="9214"/>
        </w:tabs>
        <w:ind w:firstLine="567"/>
        <w:jc w:val="both"/>
      </w:pPr>
      <w:r>
        <w:t xml:space="preserve">Истец обратился в Арбитражный суд с требованием к ООО «Калиюга Плюс» о взыскании пени </w:t>
      </w:r>
      <w:r w:rsidRPr="00133880">
        <w:t>за несвоевременный возврат займа</w:t>
      </w:r>
      <w:r>
        <w:t>. Устанавливая обоснованность требований судом установлено, что 20 апреля 2012 года между ООО «Калиюга» (должник), ООО «Калиюга Плюс» (новый должник) и Фонд (займодавец) заключили договор о переводе долга, согласно которому должник переводит новому должнику свои права и обязательства, вытекающие из договора беспроцентного займа на условиях открытой линии № 9 от 24 марта 2010 года (пункт 1 договора от 20 апреля 2012 года).</w:t>
      </w:r>
      <w:r w:rsidR="00954F9E">
        <w:t xml:space="preserve"> Частью второй пункта 1 указанного договора стороны согласовали, что </w:t>
      </w:r>
      <w:r>
        <w:t>с момента подписания договора к заимодавцу переходит право требовать от нового должника исполнения обязательств по договору беспроцентного займа на условиях открытой линии № 9 от 24 марта 2010 года.</w:t>
      </w:r>
    </w:p>
    <w:p w:rsidR="00954F9E" w:rsidRDefault="00954F9E" w:rsidP="00954F9E">
      <w:pPr>
        <w:ind w:firstLine="426"/>
        <w:jc w:val="both"/>
        <w:rPr>
          <w:color w:val="000000"/>
          <w:shd w:val="clear" w:color="auto" w:fill="FFFFFF"/>
        </w:rPr>
      </w:pPr>
      <w:r>
        <w:t xml:space="preserve">Изучив договор о переводе долга от 20 апреля 2012 года, суд пришел к выводу о том, что таковой </w:t>
      </w:r>
      <w:r>
        <w:rPr>
          <w:color w:val="000000"/>
          <w:shd w:val="clear" w:color="auto" w:fill="FFFFFF"/>
        </w:rPr>
        <w:t xml:space="preserve">совершен в письменной форме в соответствии с требованиями положений пункта 1 статьи 406 ГК ПМР и пункта 2 статьи 408 ГК ПМР. Как следует из приведенной части второй пункта 1 договора должник – ООО «Калиюга» выбыл из обязательства, передав свое обязательство по оплате задолженности новому должнику – ООО «Калиюга Плюс», а у последнего возникла обязанность перед истцом исполнению обязательства по договору </w:t>
      </w:r>
      <w:r>
        <w:t>беспроцентного займа на условиях открытой линии № 9 от 24 марта 2010 года</w:t>
      </w:r>
      <w:r>
        <w:rPr>
          <w:color w:val="000000"/>
          <w:shd w:val="clear" w:color="auto" w:fill="FFFFFF"/>
        </w:rPr>
        <w:t xml:space="preserve">. </w:t>
      </w:r>
    </w:p>
    <w:p w:rsidR="00954F9E" w:rsidRDefault="00954F9E" w:rsidP="00954F9E">
      <w:pPr>
        <w:ind w:firstLine="426"/>
        <w:jc w:val="both"/>
        <w:rPr>
          <w:color w:val="000000"/>
          <w:shd w:val="clear" w:color="auto" w:fill="FFFFFF"/>
        </w:rPr>
      </w:pPr>
      <w:r w:rsidRPr="0054253F">
        <w:rPr>
          <w:color w:val="000000"/>
          <w:shd w:val="clear" w:color="auto" w:fill="FFFFFF"/>
        </w:rPr>
        <w:t>В соответствии с п</w:t>
      </w:r>
      <w:r>
        <w:rPr>
          <w:color w:val="000000"/>
          <w:shd w:val="clear" w:color="auto" w:fill="FFFFFF"/>
        </w:rPr>
        <w:t xml:space="preserve">унктом </w:t>
      </w:r>
      <w:r w:rsidRPr="0054253F">
        <w:rPr>
          <w:color w:val="000000"/>
          <w:shd w:val="clear" w:color="auto" w:fill="FFFFFF"/>
        </w:rPr>
        <w:t>1 ст</w:t>
      </w:r>
      <w:r>
        <w:rPr>
          <w:color w:val="000000"/>
          <w:shd w:val="clear" w:color="auto" w:fill="FFFFFF"/>
        </w:rPr>
        <w:t>атьи 399 Гражданского кодекса Приднестровской Молдавской Республики (далее – ГК ПМР) п</w:t>
      </w:r>
      <w:r w:rsidRPr="0054253F">
        <w:rPr>
          <w:color w:val="000000"/>
          <w:shd w:val="clear" w:color="auto" w:fill="FFFFFF"/>
        </w:rPr>
        <w:t>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r>
        <w:rPr>
          <w:color w:val="000000"/>
          <w:shd w:val="clear" w:color="auto" w:fill="FFFFFF"/>
        </w:rPr>
        <w:t xml:space="preserve"> </w:t>
      </w:r>
    </w:p>
    <w:p w:rsidR="00954F9E" w:rsidRDefault="00954F9E" w:rsidP="00954F9E">
      <w:pPr>
        <w:ind w:firstLine="426"/>
        <w:jc w:val="both"/>
        <w:rPr>
          <w:color w:val="000000"/>
          <w:shd w:val="clear" w:color="auto" w:fill="FFFFFF"/>
        </w:rPr>
      </w:pPr>
      <w:r>
        <w:rPr>
          <w:color w:val="000000"/>
          <w:shd w:val="clear" w:color="auto" w:fill="FFFFFF"/>
        </w:rPr>
        <w:t>В</w:t>
      </w:r>
      <w:r w:rsidRPr="0054253F">
        <w:rPr>
          <w:color w:val="000000"/>
          <w:shd w:val="clear" w:color="auto" w:fill="FFFFFF"/>
        </w:rPr>
        <w:t xml:space="preserve"> силу положений ст</w:t>
      </w:r>
      <w:r>
        <w:rPr>
          <w:color w:val="000000"/>
          <w:shd w:val="clear" w:color="auto" w:fill="FFFFFF"/>
        </w:rPr>
        <w:t xml:space="preserve">атьи 169 ГК ПМР </w:t>
      </w:r>
      <w:r w:rsidRPr="0054253F">
        <w:rPr>
          <w:color w:val="000000"/>
          <w:shd w:val="clear" w:color="auto" w:fill="FFFFFF"/>
        </w:rPr>
        <w:t>и п</w:t>
      </w:r>
      <w:r>
        <w:rPr>
          <w:color w:val="000000"/>
          <w:shd w:val="clear" w:color="auto" w:fill="FFFFFF"/>
        </w:rPr>
        <w:t xml:space="preserve">ункта </w:t>
      </w:r>
      <w:r w:rsidRPr="0054253F">
        <w:rPr>
          <w:color w:val="000000"/>
          <w:shd w:val="clear" w:color="auto" w:fill="FFFFFF"/>
        </w:rPr>
        <w:t>1 ст</w:t>
      </w:r>
      <w:r>
        <w:rPr>
          <w:color w:val="000000"/>
          <w:shd w:val="clear" w:color="auto" w:fill="FFFFFF"/>
        </w:rPr>
        <w:t>атьи 399 ГК ПМР</w:t>
      </w:r>
      <w:r w:rsidRPr="0054253F">
        <w:rPr>
          <w:color w:val="000000"/>
          <w:shd w:val="clear" w:color="auto" w:fill="FFFFFF"/>
        </w:rPr>
        <w:t> уступка требований является сделкой. Согласно</w:t>
      </w:r>
      <w:r>
        <w:rPr>
          <w:color w:val="000000"/>
          <w:shd w:val="clear" w:color="auto" w:fill="FFFFFF"/>
        </w:rPr>
        <w:t xml:space="preserve"> пункту 1 статьи 408 ГК ПМР</w:t>
      </w:r>
      <w:r w:rsidRPr="0054253F">
        <w:rPr>
          <w:color w:val="000000"/>
          <w:shd w:val="clear" w:color="auto" w:fill="FFFFFF"/>
        </w:rPr>
        <w:t> перевод дол</w:t>
      </w:r>
      <w:r>
        <w:rPr>
          <w:color w:val="000000"/>
          <w:shd w:val="clear" w:color="auto" w:fill="FFFFFF"/>
        </w:rPr>
        <w:t>жником своего долга допускается лишь с согласия кредитора. Таковое согласие истца имеется и отражено сторонами в пункте 4 договора о переводе долга от 20 апреля 2012 года.</w:t>
      </w:r>
    </w:p>
    <w:p w:rsidR="003B0A6D" w:rsidRDefault="003B0A6D" w:rsidP="00954F9E">
      <w:pPr>
        <w:ind w:firstLine="426"/>
        <w:jc w:val="both"/>
      </w:pPr>
      <w:r>
        <w:rPr>
          <w:color w:val="000000"/>
          <w:shd w:val="clear" w:color="auto" w:fill="FFFFFF"/>
        </w:rPr>
        <w:t xml:space="preserve">Таким образом, основанием исковых требований является неисполнение ответчиком  обязательств, возникших из </w:t>
      </w:r>
      <w:r>
        <w:t>договора</w:t>
      </w:r>
      <w:r w:rsidR="00CE5A4B">
        <w:t xml:space="preserve"> о переводе долга от 20 апреля 2012 года и договора </w:t>
      </w:r>
      <w:r>
        <w:t xml:space="preserve"> беспроцентного займа на условиях открытой линии № 9 от 24 марта 2010 года</w:t>
      </w:r>
      <w:r w:rsidR="00CE5A4B">
        <w:t xml:space="preserve"> в редакции дополнительных соглашений: № 1 от 1 ноября 2010 года, № 1 от 20 апреля 2012 года, № 2 от 2 июля 2013 года, № 3 от 1 сентября 2014 года</w:t>
      </w:r>
      <w:r>
        <w:t>.</w:t>
      </w:r>
    </w:p>
    <w:p w:rsidR="003B0A6D" w:rsidRDefault="003B0A6D" w:rsidP="00954F9E">
      <w:pPr>
        <w:ind w:firstLine="426"/>
        <w:jc w:val="both"/>
      </w:pPr>
      <w:r>
        <w:t xml:space="preserve">Как следует из представленных истцом судебных актов, факт </w:t>
      </w:r>
      <w:r w:rsidR="008432DD">
        <w:t xml:space="preserve">ненадлежащего </w:t>
      </w:r>
      <w:r>
        <w:t xml:space="preserve">исполнения </w:t>
      </w:r>
      <w:r w:rsidR="008432DD">
        <w:t>ответчиком</w:t>
      </w:r>
      <w:r>
        <w:t xml:space="preserve"> указанного договора отражен в Решении суда от 22 октября 2014 года по делу № 967/13-03, проверен судом кассационной инстанции, ч</w:t>
      </w:r>
      <w:r w:rsidR="008432DD">
        <w:t>т</w:t>
      </w:r>
      <w:r>
        <w:t xml:space="preserve">о нашло отражение в </w:t>
      </w:r>
      <w:r w:rsidR="00A75EEE">
        <w:t>П</w:t>
      </w:r>
      <w:r>
        <w:t>остановлении</w:t>
      </w:r>
      <w:r w:rsidR="00A75EEE">
        <w:t xml:space="preserve"> кассационной инстанции Арбитражного суда</w:t>
      </w:r>
      <w:r w:rsidR="008432DD">
        <w:t xml:space="preserve"> от 18 февраля 2015 года</w:t>
      </w:r>
      <w:r>
        <w:t xml:space="preserve"> № 141/14-07к</w:t>
      </w:r>
      <w:r w:rsidR="008432DD">
        <w:t>.</w:t>
      </w:r>
    </w:p>
    <w:p w:rsidR="008432DD" w:rsidRDefault="008432DD" w:rsidP="00954F9E">
      <w:pPr>
        <w:ind w:firstLine="426"/>
        <w:jc w:val="both"/>
      </w:pPr>
      <w:r>
        <w:t>Следовательно, в силу положений  пункта 2 статьи 50 АПК ПМР обстоятельства, доказанные вступившим в законную силу решением арбитражного суда по ранее рассмотренному делу</w:t>
      </w:r>
      <w:r w:rsidR="00A75EEE">
        <w:t>,</w:t>
      </w:r>
      <w:r>
        <w:t xml:space="preserve"> не подлежат доказыванию вновь при рассмотрении судом другого дела, в котором участвуют те же лица.</w:t>
      </w:r>
      <w:r w:rsidR="00A75EEE">
        <w:t xml:space="preserve"> Принимая во внимание Решение суда от 22 октября 2014 года по делу № 967/13-03, оставленного в силе Постановлением</w:t>
      </w:r>
      <w:r w:rsidR="00A75EEE" w:rsidRPr="00A75EEE">
        <w:t xml:space="preserve"> </w:t>
      </w:r>
      <w:r w:rsidR="00A75EEE">
        <w:t>кассационной инстанции Арбитражного суда от 18 февраля 2015 года № 141/14-07к, суд приходит к выводу о доказанности ненадлежащего исполнения ответчиком договора беспроцентного займа на условиях открытой линии № 9 от 24 марта 2010 года.</w:t>
      </w:r>
    </w:p>
    <w:p w:rsidR="000B656C" w:rsidRDefault="00CE5A4B" w:rsidP="000B656C">
      <w:pPr>
        <w:ind w:firstLine="708"/>
        <w:jc w:val="both"/>
      </w:pPr>
      <w:r>
        <w:lastRenderedPageBreak/>
        <w:t xml:space="preserve">В силу положений статьей 326, 327 ГК ПМР обязательства должны исполняться надлежащим образом, односторонний отказ от обязательств недопустим. В связи  с ненадлежащим исполнением обязательств у кредитора- истца по делу возникает право применения мер ответственности к </w:t>
      </w:r>
      <w:r w:rsidRPr="000B656C">
        <w:t xml:space="preserve">должнику. </w:t>
      </w:r>
      <w:r w:rsidR="000B656C">
        <w:t xml:space="preserve">Ненадлежащее исполнение договорных обязательств в </w:t>
      </w:r>
      <w:r w:rsidR="00D403E3">
        <w:t>соответствии</w:t>
      </w:r>
      <w:r w:rsidR="000B656C">
        <w:t xml:space="preserve"> со статье 347 ГК ПМР влечет применение </w:t>
      </w:r>
      <w:r w:rsidR="00D403E3">
        <w:t>мер по обеспечению исполнения обязательств в идее неустойки (штрафа, пени).</w:t>
      </w:r>
    </w:p>
    <w:p w:rsidR="000B656C" w:rsidRPr="000B656C" w:rsidRDefault="00CE5A4B" w:rsidP="000B656C">
      <w:pPr>
        <w:ind w:firstLine="708"/>
        <w:jc w:val="both"/>
      </w:pPr>
      <w:r w:rsidRPr="000B656C">
        <w:t>Принимая во внимание специальный статус истца, действующего на основании Закона ПМР «О Фонде государственного резерва», ответственность ООО «Калиюга Плюс» возникает на основании</w:t>
      </w:r>
      <w:r w:rsidR="000B656C">
        <w:t xml:space="preserve"> подпункта а) пункта 1 и</w:t>
      </w:r>
      <w:r w:rsidRPr="000B656C">
        <w:t xml:space="preserve"> </w:t>
      </w:r>
      <w:r w:rsidR="000B656C" w:rsidRPr="000B656C">
        <w:t>части третей</w:t>
      </w:r>
      <w:r w:rsidR="000B656C">
        <w:t xml:space="preserve"> пункта 1</w:t>
      </w:r>
      <w:r w:rsidRPr="000B656C">
        <w:t xml:space="preserve"> статьи 14-4 Закона «О Фонде государственного резерва»  </w:t>
      </w:r>
      <w:r w:rsidR="000B656C" w:rsidRPr="000B656C">
        <w:t>в виде пени за каждый день просрочки определяются в процентах к сумме просроченной задолженности. Процентная ставка пеней применяется равной 1/360 ставки рефинансирования, установленной Приднестровским республиканским банком на день исполнения денежного обязательства или его части по договору займа.</w:t>
      </w:r>
    </w:p>
    <w:p w:rsidR="00B96757" w:rsidRDefault="00A75EEE" w:rsidP="00954F9E">
      <w:pPr>
        <w:ind w:firstLine="426"/>
        <w:jc w:val="both"/>
      </w:pPr>
      <w:r w:rsidRPr="000B656C">
        <w:t>Истец, обращаясь в суд с требованием о взыскании пени за неисполнение указанного договора, представил Акт сверки взаимных расчетов</w:t>
      </w:r>
      <w:r>
        <w:t xml:space="preserve"> по состоянию на 4 августа 2017 года, подписанный и скрепленный печатями истца и ответчика, из содержания которого следует, что задолженность ответчика перед истцом по состоянию на 22 июня 2017 года составляет 2 319 688,76 рублей РФ. Согласно примечанию к акту 1 150 641,24 рублей РФ списаны в счет погашения основанного долга по договору займа № 9 от 24 марта 2010 года 22 июня 2017 года.</w:t>
      </w:r>
      <w:r w:rsidR="00B96757">
        <w:t xml:space="preserve"> </w:t>
      </w:r>
    </w:p>
    <w:p w:rsidR="00A75EEE" w:rsidRDefault="00B96757" w:rsidP="00954F9E">
      <w:pPr>
        <w:ind w:firstLine="426"/>
        <w:jc w:val="both"/>
      </w:pPr>
      <w:r>
        <w:t>Проверяя правильность периода расчета пени</w:t>
      </w:r>
      <w:r w:rsidR="00CE5A4B">
        <w:t xml:space="preserve"> с 13 апреля 2017 года по 1 февраля 2018 года</w:t>
      </w:r>
      <w:r>
        <w:t>, суд констатирует верность такового, поскольку согласно представленны</w:t>
      </w:r>
      <w:r w:rsidR="00990B4A">
        <w:t>х</w:t>
      </w:r>
      <w:r>
        <w:t xml:space="preserve"> истцом решений Арбитражного суда с ответчика решени</w:t>
      </w:r>
      <w:r w:rsidR="00CF060C">
        <w:t>ями</w:t>
      </w:r>
      <w:r>
        <w:t xml:space="preserve"> суда по дел</w:t>
      </w:r>
      <w:r w:rsidR="00CF060C">
        <w:t>ам № 96</w:t>
      </w:r>
      <w:r w:rsidR="00CE5A4B">
        <w:t>7</w:t>
      </w:r>
      <w:r w:rsidR="00CF060C">
        <w:t>/13-03 от 22 октября 2014 года, № 231/15-03 от 7 апреля 2015 года, № 935/15-05 от 8 октября 2015 года, № 69/16-06 от 14 марта 2016 года, № 409/16-05 от 30 июня 2016 года, № 1179/16-03 от 2 ноября 2016 года, № 77/17-11 от 12 апреля 2017 года</w:t>
      </w:r>
      <w:r w:rsidR="00CE5A4B">
        <w:t xml:space="preserve"> пеня была взыскана за период с 1 октября 2013 года по 12 апреля 2017 года.</w:t>
      </w:r>
    </w:p>
    <w:p w:rsidR="000B656C" w:rsidRDefault="000B656C" w:rsidP="00954F9E">
      <w:pPr>
        <w:ind w:firstLine="426"/>
        <w:jc w:val="both"/>
      </w:pPr>
      <w:r>
        <w:t xml:space="preserve">Проверяя произведенный истцом расчет пени, произведенный в </w:t>
      </w:r>
      <w:r w:rsidR="00D403E3">
        <w:t>соответствии</w:t>
      </w:r>
      <w:r>
        <w:t xml:space="preserve"> со статьей 14-4 </w:t>
      </w:r>
      <w:r w:rsidRPr="000B656C">
        <w:t>Закона «О Фонде государственного резерва»</w:t>
      </w:r>
      <w:r w:rsidR="00D403E3">
        <w:t>, суд констатирует верность расчета с учетом суммы задолженности по состоянию на 13 апреля 2017 года в размере  3 470 330,00 рос. рублей, с 22 июня по 1 февраля 2018 года в размере 2 319 688,76 рос. рублей (в результате оплаты тела займа в сумме 1 150 641,24 рос. рублей), верность определения количества дней не возврата займа, а также ставку рефинансирования в размере 7% . утвержденную Протоколом заседания Правления ПРБ № 20 от 1 июня 2010 года.</w:t>
      </w:r>
    </w:p>
    <w:p w:rsidR="000B656C" w:rsidRDefault="000B656C" w:rsidP="00954F9E">
      <w:pPr>
        <w:ind w:firstLine="426"/>
        <w:jc w:val="both"/>
      </w:pPr>
      <w:r>
        <w:t>Согласно представленной справке ЗАО «Приднестровского республиканского банка от 13 марта 2018 года  № 01-52/1340 по состоянию на 1 февраля 2018 года курс российского рубля составлял 0,2835 рублей</w:t>
      </w:r>
    </w:p>
    <w:p w:rsidR="008432DD" w:rsidRDefault="00D403E3" w:rsidP="00954F9E">
      <w:pPr>
        <w:ind w:firstLine="426"/>
        <w:jc w:val="both"/>
      </w:pPr>
      <w:r>
        <w:t xml:space="preserve">При таких обстоятельствах суд признает законным и обоснованным требование истца о взыскании с ответчика пени в за период с 13 апреля 2017 года по 1 февраля 2018 года </w:t>
      </w:r>
      <w:r w:rsidRPr="00133880">
        <w:t xml:space="preserve">размере </w:t>
      </w:r>
      <w:r w:rsidRPr="00C15289">
        <w:rPr>
          <w:bCs/>
        </w:rPr>
        <w:t xml:space="preserve">446 164,29 </w:t>
      </w:r>
      <w:r w:rsidRPr="00C15289">
        <w:t>росс. руб., что эквивалентно 126 487,58 руб. ПМР</w:t>
      </w:r>
      <w:r>
        <w:t>.</w:t>
      </w:r>
    </w:p>
    <w:p w:rsidR="00D403E3" w:rsidRDefault="00D403E3" w:rsidP="00954F9E">
      <w:pPr>
        <w:ind w:firstLine="426"/>
        <w:jc w:val="both"/>
      </w:pPr>
      <w:r>
        <w:t>Суд отклоняет доводы ответчика о погашении тела займа в б</w:t>
      </w:r>
      <w:r w:rsidRPr="00990B4A">
        <w:rPr>
          <w:b/>
        </w:rPr>
        <w:t>о</w:t>
      </w:r>
      <w:r>
        <w:t>льшем размере, нежели заявлено истцом, поскольку представленные ответчиком инкассовое поручение № 1 от 10 ноября 2016 года на сумму 616 189,35 рублей</w:t>
      </w:r>
      <w:r w:rsidR="00A45740">
        <w:t>, а также выписка по лицевому счету  по состоянию 5 мая 2017 года на сумму 292, 988,32 рублей и платежный ордер к нему № ½ от 5 мая 2017 года, выписка по состоянию на 3 мая 2017 года на сумму 9 223,41 рублей и платежный ордер к нему № 1/1 от 3 мая 2017 года, выписка по состоянию на 5 декабря 2017 года на сумму 54 749,89 рублей, свидетельствую</w:t>
      </w:r>
      <w:r w:rsidR="003E343B">
        <w:t>т</w:t>
      </w:r>
      <w:r w:rsidR="00A45740">
        <w:t xml:space="preserve"> о списании задолженности в рамках исполнительного производства № 502/13-05 от 24 апреля 2015 года </w:t>
      </w:r>
      <w:r w:rsidR="003E343B">
        <w:t>на основании исполнительного листа по делу № 967/13-3 от 18 февраля 2015 года, выданного 9 апреля 2015 года, в пол</w:t>
      </w:r>
      <w:r w:rsidR="00990B4A">
        <w:t>ь</w:t>
      </w:r>
      <w:r w:rsidR="003E343B">
        <w:t xml:space="preserve">зу Фонда государственного резерва ПМР </w:t>
      </w:r>
      <w:r w:rsidR="00A45740">
        <w:t xml:space="preserve">(в графах «назначение </w:t>
      </w:r>
      <w:r w:rsidR="00A45740">
        <w:lastRenderedPageBreak/>
        <w:t>платежа»)</w:t>
      </w:r>
      <w:r w:rsidR="008E66EF">
        <w:t>. Как следует из инкассового поручения № 1 от 20 ноября 2016 года указанные средства списаны в период с 3 мая по 5 декабря 2017 года со счета должника.</w:t>
      </w:r>
    </w:p>
    <w:p w:rsidR="008E66EF" w:rsidRDefault="008E66EF" w:rsidP="00954F9E">
      <w:pPr>
        <w:ind w:firstLine="426"/>
        <w:jc w:val="both"/>
      </w:pPr>
      <w:r>
        <w:t xml:space="preserve">Между тем, согласно представленной истцом выписке из лицевого счета по состоянию на 20 декабря 2017 года зачисление средств на счет Фонда производилось в счет погашения задолженности  по исполнительным листам Арбитражного суда по делу № 1179/16-03 от 2 ноября 2016 года в сумме 6 010,33 рублей, по делу № 69/16-03  от </w:t>
      </w:r>
      <w:r w:rsidR="00990B4A">
        <w:br/>
      </w:r>
      <w:r>
        <w:t>17 марта 2016 года в сумме 13 657,08 рублей, по делу № 77/17-11 от 12 апреля 2017 года  в сумме 28 685,92 рублей, по делу № 409/16-05 от 30 июня 2016 года в сумме 21 584,06 рублей.</w:t>
      </w:r>
    </w:p>
    <w:p w:rsidR="008432DD" w:rsidRDefault="008E66EF" w:rsidP="00954F9E">
      <w:pPr>
        <w:ind w:firstLine="426"/>
        <w:jc w:val="both"/>
        <w:rPr>
          <w:color w:val="000000"/>
          <w:shd w:val="clear" w:color="auto" w:fill="FFFFFF"/>
        </w:rPr>
      </w:pPr>
      <w:r>
        <w:t>Доказательств погашения тела займа ответчиком не представлено. Более того, согласно представленной истцом справке Государственной службы судебных исполнителей</w:t>
      </w:r>
      <w:r w:rsidR="00985BDA">
        <w:t xml:space="preserve"> ПМР Тираспольского и Бендерского отдела судебных исполнителей</w:t>
      </w:r>
      <w:r>
        <w:t xml:space="preserve"> № 06-11/3070 от 13 марта 2018 года по </w:t>
      </w:r>
      <w:r w:rsidR="00985BDA">
        <w:t>состоянию на 1 февраля 2018 года задолженность по исполнительному листу, выданному Арбитражным судом по делу № 967/13-05, составляет 1 222 266,1 рублей ПМР</w:t>
      </w:r>
      <w:r w:rsidR="004623BC">
        <w:t>, что составляло  4 311 344,27 рублей РФ (с учетом</w:t>
      </w:r>
      <w:r w:rsidR="00985BDA">
        <w:t xml:space="preserve"> курс</w:t>
      </w:r>
      <w:r w:rsidR="004623BC">
        <w:t xml:space="preserve">а рубля РФ к курсу рубля ПМР </w:t>
      </w:r>
      <w:r w:rsidR="00985BDA">
        <w:t>согласно справке банка по состоянию на 1 февраля 2018 года</w:t>
      </w:r>
      <w:r w:rsidR="004623BC">
        <w:t xml:space="preserve"> </w:t>
      </w:r>
      <w:r w:rsidR="00990B4A">
        <w:br/>
      </w:r>
      <w:r w:rsidR="004623BC">
        <w:t>№ 01-52/1340 от 13.03.2018 г. составляла 0,2835). При таких обстоятельствах суд приходит к выводу о недоказанности ответчиком погашения задолженности по основному долгу по договору.</w:t>
      </w:r>
    </w:p>
    <w:p w:rsidR="003C4CC9" w:rsidRPr="00E43708" w:rsidRDefault="003C4CC9" w:rsidP="004623BC">
      <w:pPr>
        <w:widowControl w:val="0"/>
        <w:autoSpaceDE w:val="0"/>
        <w:autoSpaceDN w:val="0"/>
        <w:adjustRightInd w:val="0"/>
        <w:ind w:firstLine="709"/>
        <w:jc w:val="both"/>
        <w:rPr>
          <w:color w:val="000000"/>
        </w:rPr>
      </w:pPr>
      <w:r w:rsidRPr="00E43708">
        <w:t>В соо</w:t>
      </w:r>
      <w:r w:rsidRPr="00E43708">
        <w:rPr>
          <w:color w:val="000000"/>
        </w:rPr>
        <w:t xml:space="preserve">тветствии с пунктом 1 статьи 84 </w:t>
      </w:r>
      <w:r>
        <w:rPr>
          <w:color w:val="000000"/>
        </w:rPr>
        <w:t>АПК ПМР</w:t>
      </w:r>
      <w:r w:rsidRPr="00E43708">
        <w:rPr>
          <w:color w:val="000000"/>
        </w:rPr>
        <w:t xml:space="preserve"> судебные расходы относятся на лиц, участвующих в деле, пропорционально размеру удовлетворенных исковых требований. Из содержания статьи 78 </w:t>
      </w:r>
      <w:r>
        <w:rPr>
          <w:color w:val="000000"/>
        </w:rPr>
        <w:t xml:space="preserve">АПК ПМР </w:t>
      </w:r>
      <w:r w:rsidRPr="00E43708">
        <w:rPr>
          <w:color w:val="000000"/>
        </w:rPr>
        <w:t>следует, что к судебным расходам относится и государственная пошлина.</w:t>
      </w:r>
      <w:r>
        <w:rPr>
          <w:color w:val="000000"/>
        </w:rPr>
        <w:t xml:space="preserve"> </w:t>
      </w:r>
      <w:r w:rsidR="004623BC">
        <w:rPr>
          <w:color w:val="000000"/>
        </w:rPr>
        <w:t>Принимая во внимание выводы суда об удовлетворении иска в полном объеме, судебные расходы по оплате государственной пошлины подлежат взысканию с ответчика.</w:t>
      </w:r>
      <w:r>
        <w:rPr>
          <w:color w:val="000000"/>
        </w:rPr>
        <w:t xml:space="preserve"> </w:t>
      </w:r>
    </w:p>
    <w:p w:rsidR="003C4CC9" w:rsidRPr="00127910" w:rsidRDefault="003C4CC9" w:rsidP="003C4CC9">
      <w:pPr>
        <w:ind w:firstLine="709"/>
        <w:jc w:val="both"/>
        <w:rPr>
          <w:color w:val="000000"/>
        </w:rPr>
      </w:pPr>
      <w:r w:rsidRPr="00E43708">
        <w:rPr>
          <w:color w:val="000000"/>
        </w:rPr>
        <w:t>При таких обстоятельствах Арбитражный суд Приднестровской Молдавской Республики</w:t>
      </w:r>
      <w:r w:rsidRPr="00127910">
        <w:rPr>
          <w:color w:val="000000"/>
        </w:rPr>
        <w:t>, руководствуясь пунктом 4 статьи 80, пунктом 1 статьи 84, статьями 113-116, пунктом 1 статьи 117 Арбитражного процессуального кодекса Приднестровской Молдавской Республики, </w:t>
      </w:r>
    </w:p>
    <w:p w:rsidR="003C4CC9" w:rsidRPr="00127910" w:rsidRDefault="003C4CC9" w:rsidP="003C4CC9">
      <w:pPr>
        <w:ind w:firstLine="709"/>
        <w:jc w:val="both"/>
        <w:rPr>
          <w:color w:val="000000"/>
        </w:rPr>
      </w:pPr>
      <w:r w:rsidRPr="00127910">
        <w:rPr>
          <w:color w:val="000000"/>
        </w:rPr>
        <w:t> </w:t>
      </w:r>
    </w:p>
    <w:p w:rsidR="003C4CC9" w:rsidRPr="00127910" w:rsidRDefault="003C4CC9" w:rsidP="003C4CC9">
      <w:pPr>
        <w:ind w:firstLine="709"/>
        <w:jc w:val="center"/>
        <w:outlineLvl w:val="0"/>
        <w:rPr>
          <w:color w:val="000000"/>
        </w:rPr>
      </w:pPr>
      <w:r w:rsidRPr="00127910">
        <w:rPr>
          <w:b/>
          <w:bCs/>
          <w:color w:val="000000"/>
        </w:rPr>
        <w:t>Р Е Ш И Л:</w:t>
      </w:r>
    </w:p>
    <w:p w:rsidR="003C4CC9" w:rsidRPr="00127910" w:rsidRDefault="003C4CC9" w:rsidP="003C4CC9">
      <w:pPr>
        <w:ind w:firstLine="709"/>
        <w:jc w:val="both"/>
        <w:rPr>
          <w:color w:val="000000"/>
        </w:rPr>
      </w:pPr>
    </w:p>
    <w:p w:rsidR="003C4CC9" w:rsidRPr="00221098" w:rsidRDefault="003C4CC9" w:rsidP="003C4CC9">
      <w:pPr>
        <w:jc w:val="both"/>
      </w:pPr>
      <w:r>
        <w:rPr>
          <w:color w:val="000000"/>
        </w:rPr>
        <w:t>1.</w:t>
      </w:r>
      <w:r w:rsidR="00EC0634">
        <w:rPr>
          <w:color w:val="000000"/>
        </w:rPr>
        <w:t xml:space="preserve">  </w:t>
      </w:r>
      <w:r w:rsidRPr="00127910">
        <w:rPr>
          <w:color w:val="000000"/>
        </w:rPr>
        <w:t xml:space="preserve">Исковые требования </w:t>
      </w:r>
      <w:r w:rsidR="00EC0634" w:rsidRPr="00133880">
        <w:t xml:space="preserve">Фонда государственного резерва </w:t>
      </w:r>
      <w:r w:rsidR="00EC0634" w:rsidRPr="00127910">
        <w:rPr>
          <w:color w:val="000000"/>
        </w:rPr>
        <w:t>Приднестровской Молдавской Республики</w:t>
      </w:r>
      <w:r w:rsidR="00FF69C3">
        <w:t xml:space="preserve"> </w:t>
      </w:r>
      <w:r>
        <w:t>удовлетворить полностью.</w:t>
      </w:r>
    </w:p>
    <w:p w:rsidR="00EC0634" w:rsidRDefault="003C4CC9" w:rsidP="00FF69C3">
      <w:pPr>
        <w:jc w:val="both"/>
      </w:pPr>
      <w:r w:rsidRPr="00221098">
        <w:t>2.</w:t>
      </w:r>
      <w:r w:rsidR="00EC0634" w:rsidRPr="00EC0634">
        <w:t xml:space="preserve"> </w:t>
      </w:r>
      <w:r w:rsidR="00EC0634" w:rsidRPr="00133880">
        <w:t xml:space="preserve">Взыскать с </w:t>
      </w:r>
      <w:r w:rsidR="00EC0634">
        <w:t>общества с ограниченной ответственностью</w:t>
      </w:r>
      <w:r w:rsidR="00EC0634" w:rsidRPr="00133880">
        <w:t xml:space="preserve"> «Калиюга Плюс» в пользу</w:t>
      </w:r>
      <w:r w:rsidR="00EC0634" w:rsidRPr="00EC0634">
        <w:t xml:space="preserve"> </w:t>
      </w:r>
      <w:r w:rsidR="00EC0634" w:rsidRPr="00133880">
        <w:t xml:space="preserve">Фонда государственного резерва </w:t>
      </w:r>
      <w:r w:rsidR="00EC0634" w:rsidRPr="00127910">
        <w:rPr>
          <w:color w:val="000000"/>
        </w:rPr>
        <w:t>Приднестровской Молдавской Республики</w:t>
      </w:r>
      <w:r w:rsidR="00EC0634" w:rsidRPr="00133880">
        <w:t xml:space="preserve"> пеню за несвоевременный возврат займа в размере </w:t>
      </w:r>
      <w:r w:rsidR="00EC0634" w:rsidRPr="00C15289">
        <w:rPr>
          <w:bCs/>
        </w:rPr>
        <w:t xml:space="preserve">446 164,29 </w:t>
      </w:r>
      <w:r w:rsidR="00EC0634" w:rsidRPr="00C15289">
        <w:t>росс. руб., что эквивалентно 126 487,58 руб. ПМР</w:t>
      </w:r>
      <w:r w:rsidR="00EC0634" w:rsidRPr="00221098">
        <w:t xml:space="preserve"> </w:t>
      </w:r>
    </w:p>
    <w:p w:rsidR="00FF69C3" w:rsidRDefault="003C4CC9" w:rsidP="00FF69C3">
      <w:pPr>
        <w:jc w:val="both"/>
      </w:pPr>
      <w:r w:rsidRPr="00221098">
        <w:t>3.</w:t>
      </w:r>
      <w:r w:rsidR="00FF69C3" w:rsidRPr="00FF69C3">
        <w:t xml:space="preserve"> </w:t>
      </w:r>
      <w:r w:rsidR="00FF69C3" w:rsidRPr="00221098">
        <w:t xml:space="preserve">Взыскать с </w:t>
      </w:r>
      <w:r w:rsidR="00EC0634">
        <w:t>общества с ограниченной ответственностью</w:t>
      </w:r>
      <w:r w:rsidR="00EC0634" w:rsidRPr="00133880">
        <w:t xml:space="preserve"> «Калиюга Плюс» </w:t>
      </w:r>
      <w:r w:rsidR="00FF69C3" w:rsidRPr="00221098">
        <w:t xml:space="preserve">в </w:t>
      </w:r>
      <w:r w:rsidR="00EC0634">
        <w:t xml:space="preserve">доход республиканского бюджета </w:t>
      </w:r>
      <w:r w:rsidR="00FF69C3">
        <w:t>расходы по оплате государственной пошлины в сумме</w:t>
      </w:r>
      <w:r w:rsidR="00EC0634">
        <w:t xml:space="preserve"> 4 129,75 </w:t>
      </w:r>
      <w:r w:rsidR="00FF69C3">
        <w:t>рублей.</w:t>
      </w:r>
    </w:p>
    <w:p w:rsidR="00FF69C3" w:rsidRDefault="00FF69C3" w:rsidP="00FF69C3">
      <w:pPr>
        <w:jc w:val="both"/>
        <w:rPr>
          <w:color w:val="000000"/>
        </w:rPr>
      </w:pPr>
    </w:p>
    <w:p w:rsidR="003C4CC9" w:rsidRPr="00E43708" w:rsidRDefault="003C4CC9" w:rsidP="00EC0634">
      <w:pPr>
        <w:ind w:firstLine="567"/>
        <w:jc w:val="both"/>
        <w:rPr>
          <w:color w:val="000000"/>
        </w:rPr>
      </w:pPr>
      <w:r w:rsidRPr="00127910">
        <w:rPr>
          <w:color w:val="000000"/>
        </w:rPr>
        <w:t>Решение может быть обжаловано в кассационную инстанцию Арбитражного суда Приднестровской Молдавской Республики</w:t>
      </w:r>
      <w:r w:rsidRPr="00E43708">
        <w:rPr>
          <w:color w:val="000000"/>
        </w:rPr>
        <w:t xml:space="preserve"> в течение 20 дней со дня принятия.</w:t>
      </w:r>
    </w:p>
    <w:p w:rsidR="003C4CC9" w:rsidRPr="00E43708" w:rsidRDefault="003C4CC9" w:rsidP="003C4CC9">
      <w:pPr>
        <w:ind w:firstLine="709"/>
        <w:jc w:val="both"/>
        <w:rPr>
          <w:color w:val="000000"/>
        </w:rPr>
      </w:pPr>
      <w:r w:rsidRPr="00E43708">
        <w:rPr>
          <w:color w:val="000000"/>
        </w:rPr>
        <w:t> </w:t>
      </w:r>
    </w:p>
    <w:p w:rsidR="003C4CC9" w:rsidRPr="00E43708" w:rsidRDefault="003C4CC9" w:rsidP="004256BD">
      <w:pPr>
        <w:ind w:firstLine="284"/>
        <w:jc w:val="both"/>
        <w:outlineLvl w:val="0"/>
        <w:rPr>
          <w:b/>
        </w:rPr>
      </w:pPr>
      <w:r w:rsidRPr="00E43708">
        <w:rPr>
          <w:b/>
        </w:rPr>
        <w:t>Судья Арбитражного суда</w:t>
      </w:r>
    </w:p>
    <w:p w:rsidR="003C4CC9" w:rsidRPr="00E43708" w:rsidRDefault="003C4CC9" w:rsidP="004256BD">
      <w:pPr>
        <w:ind w:firstLine="284"/>
        <w:jc w:val="both"/>
        <w:rPr>
          <w:b/>
        </w:rPr>
      </w:pPr>
      <w:r w:rsidRPr="00E43708">
        <w:rPr>
          <w:b/>
        </w:rPr>
        <w:t>Приднестровской Молдавской Республики                                     Т. И. Цыганаш</w:t>
      </w:r>
    </w:p>
    <w:p w:rsidR="003C4CC9" w:rsidRPr="00E43708" w:rsidRDefault="003C4CC9" w:rsidP="003C4CC9">
      <w:pPr>
        <w:ind w:firstLine="709"/>
        <w:jc w:val="both"/>
      </w:pPr>
    </w:p>
    <w:p w:rsidR="003C4CC9" w:rsidRPr="00E43708" w:rsidRDefault="003C4CC9" w:rsidP="003C4CC9">
      <w:pPr>
        <w:ind w:firstLine="709"/>
        <w:jc w:val="both"/>
      </w:pPr>
    </w:p>
    <w:p w:rsidR="008010C2" w:rsidRDefault="008010C2" w:rsidP="003C4CC9">
      <w:pPr>
        <w:tabs>
          <w:tab w:val="left" w:pos="9638"/>
        </w:tabs>
        <w:ind w:right="-1"/>
        <w:jc w:val="both"/>
      </w:pPr>
    </w:p>
    <w:sectPr w:rsidR="008010C2" w:rsidSect="003469FD">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1DA" w:rsidRDefault="004451DA" w:rsidP="00747910">
      <w:r>
        <w:separator/>
      </w:r>
    </w:p>
  </w:endnote>
  <w:endnote w:type="continuationSeparator" w:id="1">
    <w:p w:rsidR="004451DA" w:rsidRDefault="004451D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BA" w:rsidRDefault="006C7CBA">
    <w:pPr>
      <w:pStyle w:val="a7"/>
      <w:jc w:val="right"/>
    </w:pPr>
    <w:fldSimple w:instr=" PAGE   \* MERGEFORMAT ">
      <w:r w:rsidR="00990B4A">
        <w:rPr>
          <w:noProof/>
        </w:rPr>
        <w:t>4</w:t>
      </w:r>
    </w:fldSimple>
  </w:p>
  <w:p w:rsidR="006C7CBA" w:rsidRDefault="006C7C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1DA" w:rsidRDefault="004451DA" w:rsidP="00747910">
      <w:r>
        <w:separator/>
      </w:r>
    </w:p>
  </w:footnote>
  <w:footnote w:type="continuationSeparator" w:id="1">
    <w:p w:rsidR="004451DA" w:rsidRDefault="004451D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FA2862"/>
    <w:multiLevelType w:val="hybridMultilevel"/>
    <w:tmpl w:val="A34664D6"/>
    <w:lvl w:ilvl="0" w:tplc="6DB42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7"/>
  </w:num>
  <w:num w:numId="4">
    <w:abstractNumId w:val="9"/>
  </w:num>
  <w:num w:numId="5">
    <w:abstractNumId w:val="0"/>
  </w:num>
  <w:num w:numId="6">
    <w:abstractNumId w:val="3"/>
  </w:num>
  <w:num w:numId="7">
    <w:abstractNumId w:val="2"/>
  </w:num>
  <w:num w:numId="8">
    <w:abstractNumId w:val="5"/>
  </w:num>
  <w:num w:numId="9">
    <w:abstractNumId w:val="10"/>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B656C"/>
    <w:rsid w:val="000C4195"/>
    <w:rsid w:val="000C512D"/>
    <w:rsid w:val="000C64A5"/>
    <w:rsid w:val="000E2672"/>
    <w:rsid w:val="000E5906"/>
    <w:rsid w:val="000F14A7"/>
    <w:rsid w:val="00120E68"/>
    <w:rsid w:val="00140291"/>
    <w:rsid w:val="001823B7"/>
    <w:rsid w:val="001A48C1"/>
    <w:rsid w:val="001E65F7"/>
    <w:rsid w:val="00212E13"/>
    <w:rsid w:val="00260A5B"/>
    <w:rsid w:val="002935E2"/>
    <w:rsid w:val="002A77DB"/>
    <w:rsid w:val="002B13F8"/>
    <w:rsid w:val="002C0482"/>
    <w:rsid w:val="002C201F"/>
    <w:rsid w:val="002D12B0"/>
    <w:rsid w:val="002D2926"/>
    <w:rsid w:val="002F1FEC"/>
    <w:rsid w:val="003274C8"/>
    <w:rsid w:val="00330EAC"/>
    <w:rsid w:val="00335CE3"/>
    <w:rsid w:val="003469FD"/>
    <w:rsid w:val="003521CA"/>
    <w:rsid w:val="003612E2"/>
    <w:rsid w:val="00362271"/>
    <w:rsid w:val="00365A17"/>
    <w:rsid w:val="00381CF3"/>
    <w:rsid w:val="003A617A"/>
    <w:rsid w:val="003B0A6D"/>
    <w:rsid w:val="003B17AD"/>
    <w:rsid w:val="003C4CC9"/>
    <w:rsid w:val="003D65BC"/>
    <w:rsid w:val="003E343B"/>
    <w:rsid w:val="00410EE2"/>
    <w:rsid w:val="00424065"/>
    <w:rsid w:val="004256BD"/>
    <w:rsid w:val="004269E8"/>
    <w:rsid w:val="004412B9"/>
    <w:rsid w:val="004451DA"/>
    <w:rsid w:val="00455A16"/>
    <w:rsid w:val="004623BC"/>
    <w:rsid w:val="004A01C7"/>
    <w:rsid w:val="004B1CE3"/>
    <w:rsid w:val="004C56EA"/>
    <w:rsid w:val="004C701C"/>
    <w:rsid w:val="004F09A4"/>
    <w:rsid w:val="004F7B6D"/>
    <w:rsid w:val="005047BA"/>
    <w:rsid w:val="0051667D"/>
    <w:rsid w:val="00591C8D"/>
    <w:rsid w:val="005A6736"/>
    <w:rsid w:val="005C3864"/>
    <w:rsid w:val="00682B09"/>
    <w:rsid w:val="00694E57"/>
    <w:rsid w:val="00695ABC"/>
    <w:rsid w:val="006975ED"/>
    <w:rsid w:val="006C6D2B"/>
    <w:rsid w:val="006C7CBA"/>
    <w:rsid w:val="006E570D"/>
    <w:rsid w:val="006F5151"/>
    <w:rsid w:val="00710036"/>
    <w:rsid w:val="00714867"/>
    <w:rsid w:val="00717526"/>
    <w:rsid w:val="00747910"/>
    <w:rsid w:val="0075091C"/>
    <w:rsid w:val="00790929"/>
    <w:rsid w:val="007A51C3"/>
    <w:rsid w:val="007A5B3E"/>
    <w:rsid w:val="008010C2"/>
    <w:rsid w:val="0080196D"/>
    <w:rsid w:val="00813A13"/>
    <w:rsid w:val="0081783D"/>
    <w:rsid w:val="0082137D"/>
    <w:rsid w:val="008273B9"/>
    <w:rsid w:val="00836B56"/>
    <w:rsid w:val="008432DD"/>
    <w:rsid w:val="008848DF"/>
    <w:rsid w:val="00885976"/>
    <w:rsid w:val="0089430A"/>
    <w:rsid w:val="008959A2"/>
    <w:rsid w:val="008A11D6"/>
    <w:rsid w:val="008C0BEC"/>
    <w:rsid w:val="008E66EF"/>
    <w:rsid w:val="00900716"/>
    <w:rsid w:val="00904994"/>
    <w:rsid w:val="00917458"/>
    <w:rsid w:val="00925CAB"/>
    <w:rsid w:val="00926900"/>
    <w:rsid w:val="00954F9E"/>
    <w:rsid w:val="00957118"/>
    <w:rsid w:val="00976BEB"/>
    <w:rsid w:val="00977C19"/>
    <w:rsid w:val="00985BDA"/>
    <w:rsid w:val="00990B4A"/>
    <w:rsid w:val="00997222"/>
    <w:rsid w:val="009977D8"/>
    <w:rsid w:val="009A1D36"/>
    <w:rsid w:val="00A032B6"/>
    <w:rsid w:val="00A373FD"/>
    <w:rsid w:val="00A42F10"/>
    <w:rsid w:val="00A45740"/>
    <w:rsid w:val="00A654E1"/>
    <w:rsid w:val="00A75EEE"/>
    <w:rsid w:val="00AB326C"/>
    <w:rsid w:val="00AB5A85"/>
    <w:rsid w:val="00AC054E"/>
    <w:rsid w:val="00AC6E73"/>
    <w:rsid w:val="00AE51C6"/>
    <w:rsid w:val="00AF591D"/>
    <w:rsid w:val="00B44B3D"/>
    <w:rsid w:val="00B857DD"/>
    <w:rsid w:val="00B96757"/>
    <w:rsid w:val="00BA1552"/>
    <w:rsid w:val="00BE7BA6"/>
    <w:rsid w:val="00BF27D5"/>
    <w:rsid w:val="00C11FFB"/>
    <w:rsid w:val="00C1581E"/>
    <w:rsid w:val="00C42EC7"/>
    <w:rsid w:val="00C43442"/>
    <w:rsid w:val="00C44CE8"/>
    <w:rsid w:val="00C575A5"/>
    <w:rsid w:val="00C66937"/>
    <w:rsid w:val="00C77370"/>
    <w:rsid w:val="00CA0E1F"/>
    <w:rsid w:val="00CE5A4B"/>
    <w:rsid w:val="00CF060C"/>
    <w:rsid w:val="00CF590F"/>
    <w:rsid w:val="00D17895"/>
    <w:rsid w:val="00D21CD8"/>
    <w:rsid w:val="00D403E3"/>
    <w:rsid w:val="00D8240A"/>
    <w:rsid w:val="00D826A1"/>
    <w:rsid w:val="00D872D6"/>
    <w:rsid w:val="00DB3B98"/>
    <w:rsid w:val="00DC0E62"/>
    <w:rsid w:val="00DE0AC9"/>
    <w:rsid w:val="00E265BC"/>
    <w:rsid w:val="00E37FF1"/>
    <w:rsid w:val="00E41B3A"/>
    <w:rsid w:val="00E67E5E"/>
    <w:rsid w:val="00E779AF"/>
    <w:rsid w:val="00E8063D"/>
    <w:rsid w:val="00E92C98"/>
    <w:rsid w:val="00EA5381"/>
    <w:rsid w:val="00EC0634"/>
    <w:rsid w:val="00EC23B0"/>
    <w:rsid w:val="00ED0EB6"/>
    <w:rsid w:val="00ED11B6"/>
    <w:rsid w:val="00ED67B4"/>
    <w:rsid w:val="00F121D8"/>
    <w:rsid w:val="00F16008"/>
    <w:rsid w:val="00F253A2"/>
    <w:rsid w:val="00F64381"/>
    <w:rsid w:val="00F72C4D"/>
    <w:rsid w:val="00FA6E55"/>
    <w:rsid w:val="00FB3ABE"/>
    <w:rsid w:val="00FC11EA"/>
    <w:rsid w:val="00FE26D2"/>
    <w:rsid w:val="00FF3FCF"/>
    <w:rsid w:val="00FF6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Зн"/>
    <w:basedOn w:val="a"/>
    <w:link w:val="10"/>
    <w:rsid w:val="003612E2"/>
    <w:rPr>
      <w:rFonts w:ascii="Courier New" w:hAnsi="Courier New" w:cs="Courier New"/>
      <w:sz w:val="20"/>
      <w:szCs w:val="20"/>
    </w:rPr>
  </w:style>
  <w:style w:type="character" w:customStyle="1" w:styleId="af1">
    <w:name w:val="Текст Знак"/>
    <w:basedOn w:val="a0"/>
    <w:link w:val="af0"/>
    <w:rsid w:val="003612E2"/>
    <w:rPr>
      <w:rFonts w:ascii="Courier New" w:hAnsi="Courier New" w:cs="Courier New"/>
    </w:rPr>
  </w:style>
  <w:style w:type="character" w:customStyle="1" w:styleId="10">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iPriority w:val="99"/>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1">
    <w:name w:val="Основной текст Знак1"/>
    <w:basedOn w:val="a0"/>
    <w:link w:val="12"/>
    <w:uiPriority w:val="99"/>
    <w:locked/>
    <w:rsid w:val="009A1D36"/>
    <w:rPr>
      <w:sz w:val="23"/>
      <w:szCs w:val="23"/>
      <w:shd w:val="clear" w:color="auto" w:fill="FFFFFF"/>
    </w:rPr>
  </w:style>
  <w:style w:type="paragraph" w:customStyle="1" w:styleId="12">
    <w:name w:val="Колонтитул1"/>
    <w:basedOn w:val="a"/>
    <w:link w:val="11"/>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uiPriority w:val="22"/>
    <w:qFormat/>
    <w:rsid w:val="006975ED"/>
    <w:rPr>
      <w:b/>
      <w:bCs/>
    </w:rPr>
  </w:style>
  <w:style w:type="paragraph" w:styleId="af6">
    <w:name w:val="Body Text Indent"/>
    <w:basedOn w:val="a"/>
    <w:link w:val="af7"/>
    <w:rsid w:val="002B13F8"/>
    <w:pPr>
      <w:spacing w:after="120"/>
      <w:ind w:left="283"/>
    </w:pPr>
  </w:style>
  <w:style w:type="character" w:customStyle="1" w:styleId="af7">
    <w:name w:val="Основной текст с отступом Знак"/>
    <w:basedOn w:val="a0"/>
    <w:link w:val="af6"/>
    <w:rsid w:val="002B13F8"/>
    <w:rPr>
      <w:sz w:val="24"/>
      <w:szCs w:val="24"/>
    </w:rPr>
  </w:style>
  <w:style w:type="paragraph" w:styleId="HTML">
    <w:name w:val="HTML Preformatted"/>
    <w:basedOn w:val="a"/>
    <w:link w:val="HTML0"/>
    <w:rsid w:val="002B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2B13F8"/>
    <w:rPr>
      <w:rFonts w:ascii="Courier New" w:hAnsi="Courier New"/>
      <w:lang/>
    </w:rPr>
  </w:style>
  <w:style w:type="paragraph" w:styleId="af8">
    <w:name w:val="No Spacing"/>
    <w:uiPriority w:val="1"/>
    <w:qFormat/>
    <w:rsid w:val="0082137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D0EA-658E-4878-85D3-6A1256EC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1991</Words>
  <Characters>11350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2018-04-28T09:33:00Z</cp:lastPrinted>
  <dcterms:created xsi:type="dcterms:W3CDTF">2018-04-28T09:39:00Z</dcterms:created>
  <dcterms:modified xsi:type="dcterms:W3CDTF">2018-04-28T09:39:00Z</dcterms:modified>
</cp:coreProperties>
</file>