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343CD0" w:rsidP="00EF3E9E">
      <w:pPr>
        <w:tabs>
          <w:tab w:val="left" w:pos="1879"/>
          <w:tab w:val="left" w:pos="2827"/>
          <w:tab w:val="left" w:pos="4074"/>
          <w:tab w:val="left" w:pos="7499"/>
        </w:tabs>
        <w:ind w:right="-398"/>
        <w:jc w:val="both"/>
      </w:pPr>
      <w:r>
        <w:rPr>
          <w:lang w:val="en-US"/>
        </w:rPr>
        <w:t xml:space="preserve">             </w:t>
      </w:r>
      <w:bookmarkStart w:id="0" w:name="_GoBack"/>
      <w:bookmarkEnd w:id="0"/>
      <w:r w:rsidR="001C741B" w:rsidRPr="00216E1B">
        <w:t>2</w:t>
      </w:r>
      <w:r w:rsidR="00C31E94">
        <w:t>8</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1C741B">
        <w:t xml:space="preserve">сентября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C31E94">
        <w:t>30</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530C67">
        <w:t>83</w:t>
      </w:r>
      <w:r w:rsidR="00C31E94">
        <w:t>1</w:t>
      </w:r>
      <w:r w:rsidR="00EF3E9E" w:rsidRPr="00E67F49">
        <w:t>/1</w:t>
      </w:r>
      <w:r w:rsidR="001C741B">
        <w:t>6</w:t>
      </w:r>
      <w:r w:rsidR="00EF3E9E" w:rsidRPr="00E67F49">
        <w:t>-0</w:t>
      </w:r>
      <w:r w:rsidR="00530C67">
        <w:t>4</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Приднестровского республиканского банка на определение суда от 2</w:t>
      </w:r>
      <w:r w:rsidR="005F4430">
        <w:t>3</w:t>
      </w:r>
      <w:r w:rsidR="00B75720" w:rsidRPr="009A5E9A">
        <w:t xml:space="preserve"> августа 2016 года о прекращении производства по делу №</w:t>
      </w:r>
      <w:r w:rsidR="00B75720">
        <w:t xml:space="preserve"> </w:t>
      </w:r>
      <w:r w:rsidR="005F4430">
        <w:t>839</w:t>
      </w:r>
      <w:r w:rsidR="00B75720" w:rsidRPr="009A5E9A">
        <w:t>/16-0</w:t>
      </w:r>
      <w:r w:rsidR="005F4430">
        <w:t>4</w:t>
      </w:r>
      <w:r w:rsidR="00B75720" w:rsidRPr="009A5E9A">
        <w:t xml:space="preserve"> (судья </w:t>
      </w:r>
      <w:r w:rsidR="005F4430">
        <w:t>Романенко А</w:t>
      </w:r>
      <w:r w:rsidR="00B75720" w:rsidRPr="009A5E9A">
        <w:t xml:space="preserve">.П.), возбужденному по заявлению Приднестровского республиканского банка (г.Тирасполь, ул.25 Октября, 71) к </w:t>
      </w:r>
      <w:r w:rsidR="00B75720">
        <w:t xml:space="preserve">обществу с ограниченной ответственностью </w:t>
      </w:r>
      <w:r w:rsidR="00C31E94">
        <w:t xml:space="preserve">«Кальвиль» (Слободзейский район, с.Чобручи, ул.8 Марта, д.40)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1E5426">
        <w:t>Липчанской Т</w:t>
      </w:r>
      <w:r w:rsidR="00360A07">
        <w:t>.</w:t>
      </w:r>
      <w:r w:rsidR="001E5426">
        <w:t>В</w:t>
      </w:r>
      <w:r w:rsidR="00360A07">
        <w:t xml:space="preserve">. (доверенность от </w:t>
      </w:r>
      <w:r w:rsidR="001E5426">
        <w:t>3</w:t>
      </w:r>
      <w:r w:rsidR="00360A07">
        <w:t xml:space="preserve">1 </w:t>
      </w:r>
      <w:r w:rsidR="001E5426">
        <w:t xml:space="preserve">мая </w:t>
      </w:r>
      <w:r w:rsidR="00360A07">
        <w:t>2016 года),</w:t>
      </w:r>
    </w:p>
    <w:p w:rsidR="00216E1B" w:rsidRPr="006C4206" w:rsidRDefault="00216E1B" w:rsidP="00474C36">
      <w:pPr>
        <w:suppressAutoHyphens/>
        <w:autoSpaceDE w:val="0"/>
        <w:autoSpaceDN w:val="0"/>
        <w:adjustRightInd w:val="0"/>
        <w:ind w:right="-256" w:firstLine="567"/>
        <w:jc w:val="both"/>
        <w:rPr>
          <w:b/>
          <w:i/>
        </w:rPr>
      </w:pPr>
    </w:p>
    <w:p w:rsidR="00216E1B" w:rsidRDefault="00216E1B" w:rsidP="00DA6AFD">
      <w:pPr>
        <w:ind w:right="27" w:firstLine="567"/>
        <w:rPr>
          <w:b/>
        </w:rPr>
      </w:pPr>
      <w:r w:rsidRPr="0049013F">
        <w:rPr>
          <w:b/>
        </w:rPr>
        <w:t>УСТАНОВИЛ:</w:t>
      </w:r>
    </w:p>
    <w:p w:rsidR="00216E1B" w:rsidRPr="006C4206" w:rsidRDefault="00216E1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Приднестровской Молдавской Республики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C31E94">
        <w:t>Кальвиль</w:t>
      </w:r>
      <w:r>
        <w:t>»</w:t>
      </w:r>
      <w:r w:rsidR="00216E1B" w:rsidRPr="0066298F">
        <w:t xml:space="preserve"> </w:t>
      </w:r>
      <w:r w:rsidR="00216E1B">
        <w:t xml:space="preserve">(далее – </w:t>
      </w:r>
      <w:r>
        <w:t>ОО</w:t>
      </w:r>
      <w:r w:rsidR="00216E1B">
        <w:t>О «</w:t>
      </w:r>
      <w:r w:rsidR="00C31E94">
        <w:t>Кальвиль</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272ADF" w:rsidRPr="009A5E9A">
        <w:t>2</w:t>
      </w:r>
      <w:r w:rsidR="005F4430">
        <w:t>3</w:t>
      </w:r>
      <w:r w:rsidR="00272ADF" w:rsidRPr="009A5E9A">
        <w:t xml:space="preserve"> августа 2016 года </w:t>
      </w:r>
      <w:r>
        <w:t xml:space="preserve">Арбитражный суд ПМР </w:t>
      </w:r>
      <w:r w:rsidR="00272ADF">
        <w:t xml:space="preserve">производство </w:t>
      </w:r>
      <w:r w:rsidR="00272ADF" w:rsidRPr="009A5E9A">
        <w:t>по делу №</w:t>
      </w:r>
      <w:r w:rsidR="00272ADF">
        <w:t xml:space="preserve"> </w:t>
      </w:r>
      <w:r w:rsidR="005F4430">
        <w:t>83</w:t>
      </w:r>
      <w:r w:rsidR="00C31E94">
        <w:t>1</w:t>
      </w:r>
      <w:r w:rsidR="00272ADF" w:rsidRPr="009A5E9A">
        <w:t>/16-0</w:t>
      </w:r>
      <w:r w:rsidR="005F4430">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t xml:space="preserve">06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 2</w:t>
      </w:r>
      <w:r w:rsidR="005F4430">
        <w:t>3</w:t>
      </w:r>
      <w:r w:rsidRPr="009A5E9A">
        <w:t xml:space="preserve"> августа 2016 года о прекращении производства по делу №</w:t>
      </w:r>
      <w:r>
        <w:t xml:space="preserve"> </w:t>
      </w:r>
      <w:r w:rsidR="005F4430">
        <w:t>83</w:t>
      </w:r>
      <w:r w:rsidR="00C31E94">
        <w:t>1</w:t>
      </w:r>
      <w:r w:rsidRPr="009A5E9A">
        <w:t>/16-0</w:t>
      </w:r>
      <w:r w:rsidR="005F4430">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272ADF" w:rsidP="00DA6AFD">
      <w:pPr>
        <w:ind w:right="27" w:firstLine="567"/>
        <w:jc w:val="both"/>
      </w:pPr>
      <w:r>
        <w:t>09</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16E1B">
        <w:t>2</w:t>
      </w:r>
      <w:r w:rsidR="00C31E94">
        <w:t>8</w:t>
      </w:r>
      <w:r w:rsidR="00D64F91">
        <w:t xml:space="preserve"> </w:t>
      </w:r>
      <w:r w:rsidR="00216E1B">
        <w:t xml:space="preserve">сентября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C31E94">
        <w:t>200</w:t>
      </w:r>
      <w:r w:rsidR="00612A29">
        <w:t xml:space="preserve"> от 1</w:t>
      </w:r>
      <w:r w:rsidR="00C31E94">
        <w:t>2</w:t>
      </w:r>
      <w:r w:rsidR="00612A29">
        <w:t xml:space="preserve">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612A29">
        <w:t>ООО «</w:t>
      </w:r>
      <w:r w:rsidR="00C31E94">
        <w:t>Кальвиль</w:t>
      </w:r>
      <w:r w:rsidR="00612A29">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им 1</w:t>
      </w:r>
      <w:r w:rsidR="00C31E94">
        <w:rPr>
          <w:rStyle w:val="FontStyle61"/>
          <w:sz w:val="24"/>
          <w:szCs w:val="24"/>
        </w:rPr>
        <w:t>5</w:t>
      </w:r>
      <w:r w:rsidR="00612A29">
        <w:rPr>
          <w:rStyle w:val="FontStyle61"/>
          <w:sz w:val="24"/>
          <w:szCs w:val="24"/>
        </w:rPr>
        <w:t xml:space="preserve"> сентября 2016 года</w:t>
      </w:r>
      <w:r w:rsidR="00612A29" w:rsidRPr="0057502D">
        <w:t>,</w:t>
      </w:r>
      <w:r w:rsidR="00612A29">
        <w:t xml:space="preserve"> то есть своевременно.</w:t>
      </w:r>
      <w:r w:rsidR="00612A29" w:rsidRPr="0057502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Кассационная жалоба рассмотрена</w:t>
      </w:r>
      <w:r>
        <w:t xml:space="preserve"> и резолютивная часть постановления оглашена </w:t>
      </w:r>
      <w:r w:rsidR="00612A29">
        <w:t>2</w:t>
      </w:r>
      <w:r w:rsidR="00C31E94">
        <w:t>8</w:t>
      </w:r>
      <w:r w:rsidR="001E1481">
        <w:t xml:space="preserve"> </w:t>
      </w:r>
      <w:r w:rsidR="00612A29">
        <w:t xml:space="preserve">сентября </w:t>
      </w:r>
      <w:r w:rsidR="001E1481">
        <w:t>2016 года</w:t>
      </w:r>
      <w:r w:rsidRPr="00B57968">
        <w:t xml:space="preserve">. Полный текст Постановления изготовлен </w:t>
      </w:r>
      <w:r w:rsidR="00612A29">
        <w:t>03</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от 2</w:t>
      </w:r>
      <w:r w:rsidR="005F4430">
        <w:t>3</w:t>
      </w:r>
      <w:r w:rsidR="00C532E6" w:rsidRPr="009A5E9A">
        <w:t xml:space="preserve"> августа 2016 года по делу №</w:t>
      </w:r>
      <w:r w:rsidR="00C532E6">
        <w:t xml:space="preserve"> </w:t>
      </w:r>
      <w:r w:rsidR="005F4430">
        <w:t>83</w:t>
      </w:r>
      <w:r w:rsidR="00C31E94">
        <w:t>1</w:t>
      </w:r>
      <w:r w:rsidR="00C532E6" w:rsidRPr="009A5E9A">
        <w:t>/16-0</w:t>
      </w:r>
      <w:r w:rsidR="005F4430">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DA6AFD">
      <w:pPr>
        <w:ind w:right="27"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C31E94">
        <w:t>Кальвиль</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A3729A" w:rsidRDefault="00404B9A" w:rsidP="00DA6AFD">
      <w:pPr>
        <w:ind w:right="27" w:firstLine="567"/>
        <w:jc w:val="both"/>
      </w:pPr>
      <w:r>
        <w:t>С</w:t>
      </w:r>
      <w:r w:rsidR="00A41D51">
        <w:t>огласно имеющим</w:t>
      </w:r>
      <w:r>
        <w:t>ся в материалах дела решени</w:t>
      </w:r>
      <w:r w:rsidR="00A41D51">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A41D51">
        <w:t>7</w:t>
      </w:r>
      <w:r w:rsidR="00C31E94">
        <w:t>30</w:t>
      </w:r>
      <w:r w:rsidR="00F709C4">
        <w:t xml:space="preserve"> от 0</w:t>
      </w:r>
      <w:r w:rsidR="00C31E94">
        <w:t>1</w:t>
      </w:r>
      <w:r w:rsidR="00F709C4">
        <w:t xml:space="preserve"> </w:t>
      </w:r>
      <w:r w:rsidR="00A41D51">
        <w:t xml:space="preserve">июня </w:t>
      </w:r>
      <w:r w:rsidR="00F709C4">
        <w:t>2016 года</w:t>
      </w:r>
      <w:r w:rsidR="00C31E94">
        <w:t xml:space="preserve">, </w:t>
      </w:r>
      <w:r w:rsidR="00A41D51">
        <w:t xml:space="preserve">№ </w:t>
      </w:r>
      <w:r w:rsidR="00C31E94">
        <w:t>141</w:t>
      </w:r>
      <w:r w:rsidR="00A41D51">
        <w:t xml:space="preserve"> от 0</w:t>
      </w:r>
      <w:r w:rsidR="00C31E94">
        <w:t>4</w:t>
      </w:r>
      <w:r w:rsidR="00A41D51">
        <w:t xml:space="preserve"> мая 2016 года</w:t>
      </w:r>
      <w:r w:rsidR="00C31E94">
        <w:t xml:space="preserve"> и № 1300 от 01 июля 2016 года</w:t>
      </w:r>
      <w:r w:rsidR="00A41D51">
        <w:t xml:space="preserve"> </w:t>
      </w:r>
      <w:r w:rsidR="00B86A26" w:rsidRPr="00B86A26">
        <w:t>ООО «</w:t>
      </w:r>
      <w:r w:rsidR="00C31E94">
        <w:t>Кальвиль</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 декларации о репатриации №</w:t>
      </w:r>
      <w:r w:rsidR="00B86A26">
        <w:t xml:space="preserve"> </w:t>
      </w:r>
      <w:r w:rsidR="00C31E94">
        <w:t>110</w:t>
      </w:r>
      <w:r w:rsidR="00B86A26" w:rsidRPr="00B86A26">
        <w:t>/00</w:t>
      </w:r>
      <w:r w:rsidR="00C31E94">
        <w:t>0328</w:t>
      </w:r>
      <w:r w:rsidR="00B86A26" w:rsidRPr="00B86A26">
        <w:t>/</w:t>
      </w:r>
      <w:r w:rsidR="00B86A26">
        <w:t>2</w:t>
      </w:r>
      <w:r w:rsidR="00B86A26" w:rsidRPr="00B86A26">
        <w:t xml:space="preserve">10 от </w:t>
      </w:r>
      <w:r w:rsidR="00C31E94">
        <w:t xml:space="preserve">07 августа </w:t>
      </w:r>
      <w:r w:rsidR="00B86A26" w:rsidRPr="00B86A26">
        <w:t xml:space="preserve"> </w:t>
      </w:r>
      <w:r w:rsidR="00881159">
        <w:t>201</w:t>
      </w:r>
      <w:r w:rsidR="00C31E94">
        <w:t>5</w:t>
      </w:r>
      <w:r w:rsidR="00881159">
        <w:t xml:space="preserve"> года</w:t>
      </w:r>
      <w:r w:rsidR="00B86A26" w:rsidRPr="00B86A26">
        <w:t xml:space="preserve"> на сумму</w:t>
      </w:r>
      <w:r w:rsidR="00C31E94">
        <w:t xml:space="preserve"> 6080</w:t>
      </w:r>
      <w:r w:rsidR="00A41D51">
        <w:t>,00</w:t>
      </w:r>
      <w:r w:rsidR="00C31E94">
        <w:t xml:space="preserve"> дол.США</w:t>
      </w:r>
      <w:r w:rsidR="00A41D51">
        <w:t>. С</w:t>
      </w:r>
      <w:r w:rsidR="00B86A26" w:rsidRPr="00B86A26">
        <w:t xml:space="preserve">рок репатриации истек </w:t>
      </w:r>
      <w:r w:rsidR="00C31E94">
        <w:t>03</w:t>
      </w:r>
      <w:r w:rsidR="00B86A26" w:rsidRPr="00B86A26">
        <w:t xml:space="preserve"> </w:t>
      </w:r>
      <w:r w:rsidR="00881159">
        <w:t xml:space="preserve">марта </w:t>
      </w:r>
      <w:r w:rsidR="00B86A26" w:rsidRPr="00B86A26">
        <w:t>201</w:t>
      </w:r>
      <w:r w:rsidR="00C31E94">
        <w:t>6</w:t>
      </w:r>
      <w:r w:rsidR="00B86A26" w:rsidRPr="00B86A26">
        <w:t xml:space="preserve"> года</w:t>
      </w:r>
      <w:r w:rsidR="00DA6AFD">
        <w:t>.</w:t>
      </w:r>
      <w:r w:rsidR="00A3729A">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DA6AFD">
        <w:t>Кальвиль</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r w:rsidR="00DA6AFD">
        <w:t>Кальвиль</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w:t>
      </w:r>
      <w:r w:rsidR="00AA47B5">
        <w:t>ы</w:t>
      </w:r>
      <w:r w:rsidR="00455952">
        <w:t xml:space="preserve">е выше </w:t>
      </w:r>
      <w:r w:rsidR="00AA47B5">
        <w:t>решения</w:t>
      </w:r>
      <w:r w:rsidR="00455952">
        <w:t xml:space="preserve"> ПРБ </w:t>
      </w:r>
      <w:r w:rsidR="00DA6AFD">
        <w:t xml:space="preserve">№ 730 от 01 июня 2016 года, № 141 от 04 мая 2016 года и № 1300 от 01 июля </w:t>
      </w:r>
      <w:r w:rsidR="00DA6AFD">
        <w:lastRenderedPageBreak/>
        <w:t xml:space="preserve">2016 года </w:t>
      </w:r>
      <w:r w:rsidR="00455952">
        <w:t>о наложении на  общество штрафа – как акт</w:t>
      </w:r>
      <w:r w:rsidR="007A72D7">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DA6AFD">
      <w:pPr>
        <w:ind w:right="27"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DA6AFD">
      <w:pPr>
        <w:ind w:right="27"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w:t>
      </w:r>
      <w:r>
        <w:lastRenderedPageBreak/>
        <w:t>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r>
        <w:rPr>
          <w:b/>
        </w:rPr>
        <w:t>П О С Т А Н О В И Л:</w:t>
      </w:r>
    </w:p>
    <w:p w:rsidR="002F3DF3" w:rsidRDefault="002F3DF3" w:rsidP="00DA6AFD">
      <w:pPr>
        <w:suppressAutoHyphens/>
        <w:autoSpaceDE w:val="0"/>
        <w:autoSpaceDN w:val="0"/>
        <w:adjustRightInd w:val="0"/>
        <w:ind w:right="27" w:firstLine="567"/>
        <w:jc w:val="both"/>
        <w:rPr>
          <w:b/>
        </w:rPr>
      </w:pPr>
    </w:p>
    <w:p w:rsidR="00D34825" w:rsidRPr="00A96039"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определение Арбитражного суда Приднестровской Молдавской Республики от 2</w:t>
      </w:r>
      <w:r w:rsidR="00474C36">
        <w:rPr>
          <w:spacing w:val="0"/>
          <w:sz w:val="24"/>
          <w:szCs w:val="24"/>
        </w:rPr>
        <w:t>3</w:t>
      </w:r>
      <w:r w:rsidRPr="00F672C8">
        <w:rPr>
          <w:spacing w:val="0"/>
          <w:sz w:val="24"/>
          <w:szCs w:val="24"/>
        </w:rPr>
        <w:t xml:space="preserve"> августа 2016 года по делу № </w:t>
      </w:r>
      <w:r w:rsidR="00474C36">
        <w:rPr>
          <w:spacing w:val="0"/>
          <w:sz w:val="24"/>
          <w:szCs w:val="24"/>
        </w:rPr>
        <w:t>83</w:t>
      </w:r>
      <w:r w:rsidR="00DA6AFD">
        <w:rPr>
          <w:spacing w:val="0"/>
          <w:sz w:val="24"/>
          <w:szCs w:val="24"/>
        </w:rPr>
        <w:t>1</w:t>
      </w:r>
      <w:r w:rsidRPr="00F672C8">
        <w:rPr>
          <w:spacing w:val="0"/>
          <w:sz w:val="24"/>
          <w:szCs w:val="24"/>
        </w:rPr>
        <w:t>/16-0</w:t>
      </w:r>
      <w:r w:rsidR="00474C36">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DA6AFD">
      <w:pPr>
        <w:pStyle w:val="a7"/>
        <w:ind w:right="27" w:firstLine="567"/>
        <w:jc w:val="both"/>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EE" w:rsidRDefault="006D74EE">
      <w:r>
        <w:separator/>
      </w:r>
    </w:p>
  </w:endnote>
  <w:endnote w:type="continuationSeparator" w:id="0">
    <w:p w:rsidR="006D74EE" w:rsidRDefault="006D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F82404"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F82404"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343CD0">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EE" w:rsidRDefault="006D74EE">
      <w:r>
        <w:separator/>
      </w:r>
    </w:p>
  </w:footnote>
  <w:footnote w:type="continuationSeparator" w:id="0">
    <w:p w:rsidR="006D74EE" w:rsidRDefault="006D7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3CD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74B"/>
    <w:rsid w:val="00455952"/>
    <w:rsid w:val="004634A4"/>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D74EE"/>
    <w:rsid w:val="006E06FC"/>
    <w:rsid w:val="006E101C"/>
    <w:rsid w:val="006E1E73"/>
    <w:rsid w:val="006E3098"/>
    <w:rsid w:val="006E365B"/>
    <w:rsid w:val="006E3AC9"/>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A72D7"/>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6A46"/>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476D7-2694-48BD-AEBA-52279F21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A690-B7D3-4814-9E59-90F5194F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2706</Words>
  <Characters>15427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2016-10-04T10:09:00Z</cp:lastPrinted>
  <dcterms:created xsi:type="dcterms:W3CDTF">2016-10-04T10:31:00Z</dcterms:created>
  <dcterms:modified xsi:type="dcterms:W3CDTF">2016-10-05T05:58:00Z</dcterms:modified>
</cp:coreProperties>
</file>