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793A03" w:rsidRDefault="00E42C34" w:rsidP="004945E7">
      <w:pPr>
        <w:tabs>
          <w:tab w:val="left" w:pos="1879"/>
          <w:tab w:val="left" w:pos="2827"/>
          <w:tab w:val="left" w:pos="4074"/>
          <w:tab w:val="left" w:pos="7499"/>
        </w:tabs>
        <w:jc w:val="both"/>
      </w:pPr>
      <w:r w:rsidRPr="00D8319E">
        <w:t xml:space="preserve">       </w:t>
      </w:r>
      <w:r w:rsidR="00310422" w:rsidRPr="00D8319E">
        <w:t xml:space="preserve"> </w:t>
      </w:r>
      <w:r w:rsidR="004945E7">
        <w:rPr>
          <w:lang w:val="en-US"/>
        </w:rPr>
        <w:t xml:space="preserve">      </w:t>
      </w:r>
      <w:r w:rsidR="00237E00" w:rsidRPr="00793A03">
        <w:t>30</w:t>
      </w:r>
      <w:r w:rsidR="00310422" w:rsidRPr="00793A03">
        <w:t xml:space="preserve"> </w:t>
      </w:r>
      <w:r w:rsidR="007D1AB2" w:rsidRPr="00793A03">
        <w:t xml:space="preserve">         </w:t>
      </w:r>
      <w:r w:rsidR="001871B1" w:rsidRPr="00793A03">
        <w:t xml:space="preserve"> </w:t>
      </w:r>
      <w:r w:rsidR="00396A7B" w:rsidRPr="00793A03">
        <w:t xml:space="preserve">  </w:t>
      </w:r>
      <w:r w:rsidR="00C80099" w:rsidRPr="00793A03">
        <w:t xml:space="preserve"> </w:t>
      </w:r>
      <w:r w:rsidR="00237E00" w:rsidRPr="00793A03">
        <w:t xml:space="preserve">марта                  </w:t>
      </w:r>
      <w:r w:rsidR="00A9688E" w:rsidRPr="00793A03">
        <w:t>1</w:t>
      </w:r>
      <w:r w:rsidR="00C80099" w:rsidRPr="00793A03">
        <w:t>6</w:t>
      </w:r>
      <w:r w:rsidR="007D1AB2" w:rsidRPr="00793A03">
        <w:t xml:space="preserve">                                                             </w:t>
      </w:r>
      <w:r w:rsidR="00573DF8" w:rsidRPr="00793A03">
        <w:t xml:space="preserve">   </w:t>
      </w:r>
      <w:r w:rsidR="007D1AB2" w:rsidRPr="00793A03">
        <w:t xml:space="preserve">   </w:t>
      </w:r>
      <w:r w:rsidR="00396A7B" w:rsidRPr="00793A03">
        <w:t xml:space="preserve"> </w:t>
      </w:r>
      <w:r w:rsidR="0067301F" w:rsidRPr="00793A03">
        <w:t xml:space="preserve"> </w:t>
      </w:r>
      <w:r w:rsidR="00237E00" w:rsidRPr="00793A03">
        <w:t>3</w:t>
      </w:r>
      <w:r w:rsidR="00C80099" w:rsidRPr="00793A03">
        <w:t>3</w:t>
      </w:r>
      <w:r w:rsidR="007D1AB2" w:rsidRPr="00793A03">
        <w:t>/1</w:t>
      </w:r>
      <w:r w:rsidR="00237E00" w:rsidRPr="00793A03">
        <w:t>6</w:t>
      </w:r>
      <w:r w:rsidR="007D1AB2" w:rsidRPr="00793A03">
        <w:t>-0</w:t>
      </w:r>
      <w:r w:rsidR="00812FCE" w:rsidRPr="00793A03">
        <w:t>2</w:t>
      </w:r>
      <w:r w:rsidR="007D1AB2" w:rsidRPr="00793A03">
        <w:t>к</w:t>
      </w:r>
    </w:p>
    <w:p w:rsidR="007D1AB2" w:rsidRPr="00793A03" w:rsidRDefault="00310422" w:rsidP="00EF3E9E">
      <w:pPr>
        <w:tabs>
          <w:tab w:val="left" w:pos="1879"/>
          <w:tab w:val="left" w:pos="2827"/>
          <w:tab w:val="left" w:pos="4074"/>
          <w:tab w:val="left" w:pos="7499"/>
        </w:tabs>
        <w:ind w:right="-398"/>
        <w:jc w:val="both"/>
      </w:pPr>
      <w:r w:rsidRPr="00793A03">
        <w:t xml:space="preserve">  </w:t>
      </w:r>
    </w:p>
    <w:p w:rsidR="007D1AB2" w:rsidRPr="00793A03" w:rsidRDefault="009830F1" w:rsidP="00EF3E9E">
      <w:pPr>
        <w:ind w:right="-398"/>
      </w:pPr>
      <w:r w:rsidRPr="00793A03">
        <w:t xml:space="preserve">                                                                                                                      </w:t>
      </w:r>
      <w:r w:rsidR="00EF3E9E" w:rsidRPr="00793A03">
        <w:t xml:space="preserve">               </w:t>
      </w:r>
      <w:r w:rsidR="00237E00" w:rsidRPr="00793A03">
        <w:t>1</w:t>
      </w:r>
      <w:r w:rsidR="00985E2A">
        <w:t>7</w:t>
      </w:r>
      <w:r w:rsidR="00237E00" w:rsidRPr="00793A03">
        <w:t>76</w:t>
      </w:r>
      <w:r w:rsidR="006B587C" w:rsidRPr="00793A03">
        <w:t>/1</w:t>
      </w:r>
      <w:r w:rsidR="00237E00" w:rsidRPr="00793A03">
        <w:t>5</w:t>
      </w:r>
      <w:r w:rsidR="006B587C" w:rsidRPr="00793A03">
        <w:t xml:space="preserve">-10 </w:t>
      </w:r>
      <w:r w:rsidRPr="00793A03">
        <w:t xml:space="preserve">      </w:t>
      </w:r>
    </w:p>
    <w:p w:rsidR="009830F1" w:rsidRPr="00793A03" w:rsidRDefault="009830F1" w:rsidP="00EF3E9E">
      <w:pPr>
        <w:autoSpaceDE w:val="0"/>
        <w:autoSpaceDN w:val="0"/>
        <w:adjustRightInd w:val="0"/>
        <w:ind w:right="-398" w:firstLine="567"/>
        <w:jc w:val="both"/>
      </w:pPr>
    </w:p>
    <w:p w:rsidR="006C4A65" w:rsidRPr="00793A03" w:rsidRDefault="006C4A65" w:rsidP="006C4A65">
      <w:pPr>
        <w:pStyle w:val="a7"/>
        <w:ind w:firstLine="567"/>
        <w:jc w:val="both"/>
      </w:pPr>
      <w:r w:rsidRPr="00793A03">
        <w:t>Арбитражный суд кассационной инстанции в составе заместителя Председателя Арбитражного суда Приднестровской Молдавской Республики Лука Е.В., рассмотрев в открытом судебном заседании кассационную жалобу Государственного таможенного комитета Приднестровской Молдавской Республики (г.Тирасполь, ул.Украинская, 15 а) на определение суда от 29 февраля 2016 года по делу № 1776/15-10, возбужденному по заявлению общества с ограниченной ответственностью «Днестркосметиксервис» (Слободзейский район, с.Суклея, ул.Чапаева, д.88) о признании незаконным решения таможенного органа, при участии представителя заявителя Харламова С.В. (доверенность от 15.10.2015 года) и представителя таможенного органа Ковальской И.Р. (доверенность № 5 от 18.01.2016 года),</w:t>
      </w:r>
    </w:p>
    <w:p w:rsidR="006C4A65" w:rsidRPr="00793A03" w:rsidRDefault="006C4A65" w:rsidP="006C4A65">
      <w:pPr>
        <w:pStyle w:val="a7"/>
        <w:ind w:firstLine="567"/>
        <w:jc w:val="both"/>
        <w:rPr>
          <w:b/>
        </w:rPr>
      </w:pPr>
      <w:r w:rsidRPr="00793A03">
        <w:rPr>
          <w:b/>
        </w:rPr>
        <w:t>У С Т А Н О В И Л:</w:t>
      </w:r>
    </w:p>
    <w:p w:rsidR="006C4A65" w:rsidRPr="00793A03" w:rsidRDefault="006C4A65" w:rsidP="006C4A65">
      <w:pPr>
        <w:ind w:firstLine="540"/>
        <w:jc w:val="both"/>
      </w:pPr>
      <w:r w:rsidRPr="00793A03">
        <w:t>Общество с ограниченной ответственностью (далее – ООО) «Днестркосметиксервис» обратилось в Арбитражный суд Приднестровской Молдавской Республики (далее - Арбитражный суд ПМР, арбитражный суд, суд) с заявлением о признании незаконным решения Государственного таможенного комитета Приднестровской Молдавской Республики (далее – ГТК ПМР, таможенный орган) об отказе ООО «Днестркосметиксервис» в возврате излишне взысканных таможенных платежей в виде таможенного сбора за хранение товаров в размере 16725,00 рублей ПМР, как несоответствующего статье 137 ТК ПМР, Приказу ГТК ПМР и Министерства экономики ПМР № 464/485 от 28 сентября 2004 г. «Об установлении ставок платежей, взимаемых таможенными органами Приднестровской Молдавской Республики», Приказу ГТК ПМР № 513 от 2 ноября 2004 г. «Об утверждении и введении в действие инструкции «О порядке взимания таможенных сборов, взимаемых таможенными органами».</w:t>
      </w:r>
    </w:p>
    <w:p w:rsidR="006C4A65" w:rsidRPr="00793A03" w:rsidRDefault="006C4A65" w:rsidP="006C4A65">
      <w:pPr>
        <w:ind w:firstLine="540"/>
        <w:jc w:val="both"/>
      </w:pPr>
      <w:r w:rsidRPr="00793A03">
        <w:t>Определением от 29 февраля 2016 года Арбитражный суд ПМР приостановил производство по делу до рассмотрения заявления ООО «Златогор» от 26 февраля 2016 года об оспаривании Приказа ГТК ПМР № 7 от 8 января 2002 года «О введении в действие «Порядка возврата излишне уплаченных или взысканных таможенных платежей» и вступления в законную силу судебного акта по указанному заявлению.</w:t>
      </w:r>
    </w:p>
    <w:p w:rsidR="006C4A65" w:rsidRPr="00793A03" w:rsidRDefault="006C4A65" w:rsidP="006C4A65">
      <w:pPr>
        <w:ind w:firstLine="567"/>
        <w:jc w:val="both"/>
      </w:pPr>
      <w:r w:rsidRPr="00793A03">
        <w:t xml:space="preserve">ГТК ПМР, не согласившись с принятым определением, 14 марта 2016 года подал кассационную жалобу, в которой просит отменить определение Арбитражного суда ПМР от 29 февраля 2016 года по делу № 1776/15-10 и передать дело для рассмотрения по существу в суд первой инстанции. </w:t>
      </w:r>
    </w:p>
    <w:p w:rsidR="006C4A65" w:rsidRPr="00793A03" w:rsidRDefault="006C4A65" w:rsidP="006C4A65">
      <w:pPr>
        <w:ind w:firstLine="567"/>
        <w:jc w:val="both"/>
      </w:pPr>
      <w:r w:rsidRPr="00793A03">
        <w:t xml:space="preserve">Определением от 17 марта 2016 года кассационная жалоба таможенного органа принята к производству кассационной инстанции Арбитражного суда ПМР и дело назначено к судебному разбирательству на 30 марта 2016 года. </w:t>
      </w:r>
    </w:p>
    <w:p w:rsidR="006C4A65" w:rsidRPr="00793A03" w:rsidRDefault="006C4A65" w:rsidP="006C4A65">
      <w:pPr>
        <w:autoSpaceDE w:val="0"/>
        <w:autoSpaceDN w:val="0"/>
        <w:adjustRightInd w:val="0"/>
        <w:ind w:firstLine="567"/>
        <w:jc w:val="both"/>
      </w:pPr>
      <w:r w:rsidRPr="00793A03">
        <w:t xml:space="preserve">Кассационная жалоба рассмотрена и резолютивная часть постановления оглашена 30 марта 2016 года. Полный текст Постановления изготовлен 01 апреля 2016 года. </w:t>
      </w:r>
    </w:p>
    <w:p w:rsidR="006C4A65" w:rsidRPr="00793A03" w:rsidRDefault="006C4A65" w:rsidP="006C4A65">
      <w:pPr>
        <w:ind w:firstLine="567"/>
        <w:jc w:val="both"/>
      </w:pPr>
      <w:r w:rsidRPr="00793A03">
        <w:lastRenderedPageBreak/>
        <w:t>В обоснование кассационной жалобы истец привел следующие доводы:</w:t>
      </w:r>
    </w:p>
    <w:p w:rsidR="006C4A65" w:rsidRPr="00793A03" w:rsidRDefault="006C4A65" w:rsidP="006C4A65">
      <w:pPr>
        <w:ind w:firstLine="540"/>
        <w:jc w:val="both"/>
      </w:pPr>
      <w:r w:rsidRPr="00793A03">
        <w:t>Определение о приостановлении производства по делу вынесено с нарушением норм материального права.</w:t>
      </w:r>
    </w:p>
    <w:p w:rsidR="006C4A65" w:rsidRPr="00793A03" w:rsidRDefault="006C4A65" w:rsidP="006C4A65">
      <w:pPr>
        <w:ind w:firstLine="540"/>
        <w:jc w:val="both"/>
      </w:pPr>
      <w:r w:rsidRPr="00793A03">
        <w:t>Порядок исчисления и уплаты таможенных платежей определен Главой 20 ТК ПМР.</w:t>
      </w:r>
    </w:p>
    <w:p w:rsidR="006C4A65" w:rsidRPr="00793A03" w:rsidRDefault="006C4A65" w:rsidP="006C4A65">
      <w:pPr>
        <w:ind w:firstLine="540"/>
        <w:jc w:val="both"/>
      </w:pPr>
      <w:r w:rsidRPr="00793A03">
        <w:t>В частности статей 149 ТК ПМР предусмотрено, что заявление лица о возврате излишне уплаченных или взысканных таможенных платежей может быть подано в таможенный орган Приднестровской Молдавской Республики в течение 1 (одного) года с момента уплаты или взыскания таких платежей.</w:t>
      </w:r>
    </w:p>
    <w:p w:rsidR="006C4A65" w:rsidRPr="00793A03" w:rsidRDefault="006C4A65" w:rsidP="006C4A65">
      <w:pPr>
        <w:ind w:firstLine="540"/>
        <w:jc w:val="both"/>
      </w:pPr>
      <w:r w:rsidRPr="00793A03">
        <w:t xml:space="preserve">Порядок возврата излишне уплаченных или взысканных таможенных платежей утвержден Приказом Государственного таможенного комитета ПМР от 8 января 2002 года № 7. </w:t>
      </w:r>
    </w:p>
    <w:p w:rsidR="006C4A65" w:rsidRPr="00793A03" w:rsidRDefault="006C4A65" w:rsidP="006C4A65">
      <w:pPr>
        <w:ind w:firstLine="540"/>
        <w:jc w:val="both"/>
      </w:pPr>
      <w:r w:rsidRPr="00793A03">
        <w:t>Из совокупности норм пункта 1 статьи 130-9, пункта 3 статьи 130-12, статьи 11 АПК ПМР следует, что Арбитражный суд, при рассмотрении дела об оспаривании решения органа государственной власти, осуществляет проверку оспариваемого решения и устанавливает его соответствие не только нормативным правовым актам, на которые ссылаются стороны, но и более высшим по юридической силе нормативным правовым актам. При этом, Арбитражный суд, установив при рассмотрении дела несоответствие акта государственного органа, органа местного самоуправления, иного органа Конституции, закону, в том числе издание его с превышением полномочий, принимает решение в соответствии с Конституцией, законом.</w:t>
      </w:r>
    </w:p>
    <w:p w:rsidR="006C4A65" w:rsidRPr="00793A03" w:rsidRDefault="006C4A65" w:rsidP="006C4A65">
      <w:pPr>
        <w:ind w:firstLine="540"/>
        <w:jc w:val="both"/>
      </w:pPr>
      <w:r w:rsidRPr="00793A03">
        <w:t>Таким образом, обращение ООО «Златогор» в Арбитражный суд с заявлением о признании Приказа ГТК ПМР № 7 от 8 января 2002 года «О введении в действие «Порядка возврата излишне уплаченных или взысканных таможенных платежей» не является основанием для приостановления производства по делу № 1776/15-10.</w:t>
      </w:r>
    </w:p>
    <w:p w:rsidR="006C4A65" w:rsidRPr="00793A03" w:rsidRDefault="006C4A65" w:rsidP="006C4A65">
      <w:pPr>
        <w:ind w:firstLine="540"/>
        <w:jc w:val="both"/>
      </w:pPr>
      <w:r w:rsidRPr="00793A03">
        <w:t>Следовательно, приняв оспариваемое определение от 29 февраля 2016 года, суд неправильно применил часть вторую статьи 71 АПК ПМР и нарушил статью 11, пункт  3 статьи 130-12 АПК ПМР, что привело к принятию неправильного определения и, в силу нормы п/п 4) п. 1 ст. 152 АПК ПМР, является основанием к его отмене.</w:t>
      </w:r>
    </w:p>
    <w:p w:rsidR="006C4A65" w:rsidRPr="00793A03" w:rsidRDefault="006C4A65" w:rsidP="006C4A65">
      <w:pPr>
        <w:ind w:firstLine="540"/>
        <w:jc w:val="both"/>
      </w:pPr>
      <w:r w:rsidRPr="00793A03">
        <w:t xml:space="preserve">Кроме того, исходя из пункта 4 статьи 130-7 АПК ПМР, подзаконный 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 большую юридическую силу. Таким образом, возможное признание Арбитражным судом ПМР Приказа ГТК ПМР № 7 от 8 января 2002 года «О введении в действие «Порядка возврата излишне уплаченных или взысканных таможенных платежей» недействующим в будущем, не исключает законность применения таможенным органом указанного нормативного правового акта в период до признания его недействительным. </w:t>
      </w:r>
    </w:p>
    <w:p w:rsidR="006C4A65" w:rsidRPr="00793A03" w:rsidRDefault="006C4A65" w:rsidP="006C4A65">
      <w:pPr>
        <w:ind w:firstLine="567"/>
        <w:jc w:val="both"/>
      </w:pPr>
      <w:r w:rsidRPr="00793A03">
        <w:rPr>
          <w:rStyle w:val="a8"/>
          <w:color w:val="000000"/>
        </w:rPr>
        <w:t xml:space="preserve">В судебном заседании представитель таможенного органа поддержала доводы кассационной жалобы, просит таковую удовлетворить, </w:t>
      </w:r>
      <w:r w:rsidRPr="00793A03">
        <w:t xml:space="preserve">определение Арбитражного суда ПМР от 29 февраля 2016 года по делу № 1776/15-10 отменить и передать дело для рассмотрения по существу в суд первой инстанции. </w:t>
      </w:r>
    </w:p>
    <w:p w:rsidR="006C4A65" w:rsidRPr="00793A03" w:rsidRDefault="006C4A65" w:rsidP="006C4A65">
      <w:pPr>
        <w:ind w:right="27" w:firstLine="567"/>
        <w:jc w:val="both"/>
      </w:pPr>
      <w:r w:rsidRPr="00793A03">
        <w:t xml:space="preserve">Заявитель ООО «Днестркосметиксервис» отзыв не представил, возражений по существу кассационной жалобы не заявил, пояснив при этом, что в силу части второй статьи 71 АПК ПМР суд вправе приостановить производство по делу по иным основаниям. </w:t>
      </w:r>
    </w:p>
    <w:p w:rsidR="006C4A65" w:rsidRPr="00793A03" w:rsidRDefault="006C4A65" w:rsidP="006C4A65">
      <w:pPr>
        <w:ind w:right="27" w:firstLine="567"/>
        <w:jc w:val="both"/>
      </w:pPr>
      <w:r w:rsidRPr="00793A03">
        <w:t xml:space="preserve">Арбитражный суд кассационной инстанции, изучив материалы дела, заслушав объяснения лиц, участвующих в деле, проверив в порядке статьи 149 Арбитражного процессуального кодекса Приднестровской Молдавской Республики (далее - АПК ПМР) правильность применения норм материального и процессуального права при принятии обжалуемого определения, а также его законность и обоснованность в полном объеме, пришел к выводу о том, что кассационная жалоба подлежит удовлетворению, в связи со следующим. </w:t>
      </w:r>
    </w:p>
    <w:p w:rsidR="006C4A65" w:rsidRPr="00793A03" w:rsidRDefault="006C4A65" w:rsidP="006C4A65">
      <w:pPr>
        <w:shd w:val="clear" w:color="auto" w:fill="FFFFFF"/>
        <w:ind w:firstLine="567"/>
        <w:jc w:val="both"/>
      </w:pPr>
      <w:r w:rsidRPr="00793A03">
        <w:t xml:space="preserve">Как следует из обжалуемого определения от 29 февраля 2016 года по делу № 1776/15-10, суд, установив факт обращения </w:t>
      </w:r>
      <w:r w:rsidRPr="00793A03">
        <w:rPr>
          <w:rStyle w:val="1"/>
          <w:color w:val="000000"/>
          <w:sz w:val="24"/>
          <w:szCs w:val="24"/>
        </w:rPr>
        <w:t xml:space="preserve">ООО «Златогор» в арбитражный суд с заявлением об оспаривании </w:t>
      </w:r>
      <w:r w:rsidRPr="00793A03">
        <w:t xml:space="preserve">Приказа ГТК ПМР № 7 от 8 января 2002 года «О введении в действие «Порядка возврата излишне уплаченных или взысканных таможенных платежей», на </w:t>
      </w:r>
      <w:r w:rsidRPr="00793A03">
        <w:lastRenderedPageBreak/>
        <w:t xml:space="preserve">положениях которого основаны возражения таможенного органа по делу № 1776/15-10, счел, </w:t>
      </w:r>
      <w:r w:rsidRPr="00793A03">
        <w:rPr>
          <w:rStyle w:val="1"/>
          <w:color w:val="000000"/>
          <w:sz w:val="24"/>
          <w:szCs w:val="24"/>
        </w:rPr>
        <w:t>что приостановление производства по нему до рассмотрения названного выше заявления ООО «Златогор» будет способствовать всестороннему и более полному рассмотрению дела. В связи с этим, суд</w:t>
      </w:r>
      <w:r w:rsidRPr="00793A03">
        <w:t xml:space="preserve"> приостановил производство по делу до рассмотрения указанного заявления ООО «Златогор» и вступления в законную силу судебного акта по нему на основании части второй статьи 71 АПК ПМР, предусматривающей право суда приостановить производство по делу по иным основаниям.</w:t>
      </w:r>
    </w:p>
    <w:p w:rsidR="006C4A65" w:rsidRPr="00793A03" w:rsidRDefault="006C4A65" w:rsidP="006C4A65">
      <w:pPr>
        <w:ind w:firstLine="567"/>
        <w:jc w:val="both"/>
      </w:pPr>
      <w:r w:rsidRPr="00793A03">
        <w:t>Однако, приведенные судом обстоятельства, не свидетельствуют о наличии каких-либо оснований для приостановления производства по делу.</w:t>
      </w:r>
    </w:p>
    <w:p w:rsidR="006C4A65" w:rsidRPr="00793A03" w:rsidRDefault="006C4A65" w:rsidP="006C4A65">
      <w:pPr>
        <w:ind w:firstLine="567"/>
        <w:jc w:val="both"/>
        <w:rPr>
          <w:b/>
        </w:rPr>
      </w:pPr>
      <w:r w:rsidRPr="00793A03">
        <w:t xml:space="preserve">Так, исходя из положений статей 70, 71 АПК ПМР, содержащих соответственно обязательные и факультативные основания приостановления производства по делу, такими основаниями являются обстоятельства, в силу которых рассмотрение дела невозможно либо существенно затруднено.  </w:t>
      </w:r>
    </w:p>
    <w:p w:rsidR="006C4A65" w:rsidRPr="00793A03" w:rsidRDefault="006C4A65" w:rsidP="006C4A65">
      <w:pPr>
        <w:pStyle w:val="a7"/>
        <w:spacing w:after="0"/>
        <w:ind w:left="23" w:right="23" w:firstLine="567"/>
        <w:jc w:val="both"/>
      </w:pPr>
      <w:r w:rsidRPr="00793A03">
        <w:t xml:space="preserve">Вместе с тем, наличие в производстве Арбитражного суда ПМР </w:t>
      </w:r>
      <w:r w:rsidRPr="00793A03">
        <w:rPr>
          <w:rStyle w:val="1"/>
          <w:color w:val="000000"/>
          <w:sz w:val="24"/>
          <w:szCs w:val="24"/>
        </w:rPr>
        <w:t>заявления ООО «Златогор» от 26.02.2016 г. об оспаривании Приказа ГТК ПМР № 7 от 8 января 2002 года «О введении в действие «Порядка возврата излишне уплаченных или взысканных таможенных платежей» и о</w:t>
      </w:r>
      <w:r w:rsidRPr="00793A03">
        <w:t>тсутствие вступившего в законную силу судебного акта</w:t>
      </w:r>
      <w:r w:rsidRPr="00793A03">
        <w:rPr>
          <w:rStyle w:val="1"/>
          <w:color w:val="000000"/>
          <w:sz w:val="24"/>
          <w:szCs w:val="24"/>
        </w:rPr>
        <w:t xml:space="preserve"> по нему не создает каких-либо препятствий для полного и всестороннего рассмотрения дела № </w:t>
      </w:r>
      <w:r w:rsidRPr="00793A03">
        <w:t>1776/15-10.</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Исходя из положений части второй пункта 3 статьи 130-12 АПК ПМР, для разрешения спора о признании незаконным решения ГТК ПМР об отказе ООО «Днестркосметиксервис» в возврате излишне взысканных таможенных платежей суду необходимо дать ему оценку с позиции соответствия закону или иному нормативному правовому акту, действующим на момент принятия оспариваемого решения.</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В случае удовлетворения требования ООО «Златогор» о признании недействующим Приказа ГТК ПМР № 7 от 8 января 2002 года «О введении в действие «Порядка возврата излишне уплаченных или взысканных таможенных платежей», оспоренный нормативный правовой акт прекратит свое действие.</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Однако, в соответствии с пунктом 4 статьи 130-7 АПК ПМР нормативный правовой акт или его отдельные положения, признанные арбитражным судом недействующими, не подлежат применению с момента вступления в законную силу решения суда.</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Иного порядка исполнения вступившего в законную силу судебного акта по данной категории дел положениями процессуального законодательства не предусмотрено.</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Соответственно решение суда, которым нормативный правовой акт признан противоречащим закону, не является подтверждением недействительности этого нормативного правового акта, тем более лишения его юридической силы с момента издания, а означает лишь признание его не действующим и, следовательно, с момента вступления решения суда в силу не подлежащим применению.</w:t>
      </w:r>
    </w:p>
    <w:p w:rsidR="006C4A65" w:rsidRPr="00793A03" w:rsidRDefault="006C4A65" w:rsidP="006C4A65">
      <w:pPr>
        <w:autoSpaceDE w:val="0"/>
        <w:autoSpaceDN w:val="0"/>
        <w:adjustRightInd w:val="0"/>
        <w:ind w:firstLine="720"/>
        <w:jc w:val="both"/>
      </w:pPr>
      <w:r w:rsidRPr="00793A03">
        <w:t>Более того, признание подзаконного нормативного правового акта не соответствующим иному нормативному правовому акту, имеющему большую юридическую силу, и недействующим полностью в судебном порядке не является единственным основанием для неприменения этого акта при рассмотрении судом спора.</w:t>
      </w:r>
    </w:p>
    <w:p w:rsidR="006C4A65" w:rsidRPr="00793A03" w:rsidRDefault="006C4A65" w:rsidP="006C4A65">
      <w:pPr>
        <w:autoSpaceDE w:val="0"/>
        <w:autoSpaceDN w:val="0"/>
        <w:adjustRightInd w:val="0"/>
        <w:ind w:firstLine="720"/>
        <w:jc w:val="both"/>
      </w:pPr>
      <w:r w:rsidRPr="00793A03">
        <w:t xml:space="preserve">Так, в силу подпункта л) статьи 12 Гражданского кодекса </w:t>
      </w:r>
      <w:r w:rsidR="00793A03">
        <w:t>Приднестровской Молдавской Р</w:t>
      </w:r>
      <w:r w:rsidRPr="00793A03">
        <w:t>еспублики защита гражданских прав осуществляется путем неприменения судом акта государственного органа или органа местного самоуправления, противоречащего закону.</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Указанной норме корреспондируют положения следующих процессуальных норм АПК ПМР.</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В соответствии с пунктом  1 статьи 11 АПК ПМР арбитражный суд разрешает споры на основании Конституции Приднестровской Молдавской Республики, законов, нормативных указов Президента Приднестровской Молдавской Республики и постановлений Правительства Приднестровской Молдавской Республики, нормативных правовых актов органов местного самоуправления и международных договоров Приднестровской Молдавской Республики.</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 xml:space="preserve">Как указано выше согласно прямому указанию части второй пункта 3 статьи 130-12 АПК ПМР при рассмотрении дел об оспаривании ненормативных правовых актов, решений </w:t>
      </w:r>
      <w:r w:rsidRPr="00793A03">
        <w:rPr>
          <w:rFonts w:ascii="Times New Roman" w:hAnsi="Times New Roman"/>
          <w:sz w:val="24"/>
          <w:szCs w:val="24"/>
        </w:rPr>
        <w:lastRenderedPageBreak/>
        <w:t xml:space="preserve">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арбитражный суд на судебном заседании устанавливает их соответствие закону или иному нормативному правовому акту. </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 xml:space="preserve">В соответствии с пунктом 1 статьи 114 АПК ПМР, устанавливающей вопросы, разрешаемые при принятии решения, непосредственно арбитражный суд решает, какие законы и иные нормативные правовые акты, на которые ссылались лица, участвующие в деле, не следует применять по данному делу и определяет, какие законы и иные нормативные правовые акты следует применить по данному делу. </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При этом, в силу пункта 2 статьи 11 АПК ПМР арбитражный суд, установив при рассмотрении дела несоответствие акта государственного органа, органа местного самоуправления, иного органа Конституции, закону, в том числе издание его с превышением полномочий, принимает решение в соответствии с Конституцией, законом.</w:t>
      </w:r>
    </w:p>
    <w:p w:rsidR="006C4A65" w:rsidRPr="00793A03" w:rsidRDefault="006C4A65" w:rsidP="006C4A65">
      <w:pPr>
        <w:pStyle w:val="ac"/>
        <w:ind w:firstLine="567"/>
        <w:jc w:val="both"/>
        <w:rPr>
          <w:rFonts w:ascii="Times New Roman" w:hAnsi="Times New Roman" w:cs="Times New Roman"/>
          <w:sz w:val="24"/>
          <w:szCs w:val="24"/>
        </w:rPr>
      </w:pPr>
      <w:r w:rsidRPr="00793A03">
        <w:rPr>
          <w:rFonts w:ascii="Times New Roman" w:hAnsi="Times New Roman" w:cs="Times New Roman"/>
          <w:sz w:val="24"/>
          <w:szCs w:val="24"/>
        </w:rPr>
        <w:t xml:space="preserve">В связи с изложенным, арбитражный суд первой инстанции не только мог, но и должен был, при рассмотрении дела № 1776/15-06 выполнить возложенные на него приведенными нормами права обязанности и самостоятельно дать оценку положениям </w:t>
      </w:r>
      <w:r w:rsidRPr="00793A03">
        <w:rPr>
          <w:rStyle w:val="1"/>
          <w:rFonts w:ascii="Times New Roman" w:hAnsi="Times New Roman" w:cs="Times New Roman"/>
          <w:color w:val="000000"/>
          <w:sz w:val="24"/>
          <w:szCs w:val="24"/>
        </w:rPr>
        <w:t xml:space="preserve">Приказа ГТК ПМР № 7 от 8 января 2002 года «О введении в действие «Порядка возврата излишне уплаченных или взысканных таможенных платежей», на которые ссылался таможенный орган в обоснование возражений на заявление, и которые, по мнению заявителя, не соответствовали нормам Таможенного кодекса МПР. </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При таких обстоятельствах суд кассационной инстанции не может согласиться с выводом суда первой инстанции о наличии оснований для приостановления производства по настоящему делу.</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Суд кассационной инстанции не усматривает обстоятельств, которые препятствовали бы суду первой инстанции всесторонне и полно рассмотреть дело, в том числе дать надлежащую оценку правомерности заявленных ООО «Днестркосметиксервис» требований и оценить оспариваемое решение на предмет его соответствия действующему законодательству.</w:t>
      </w:r>
    </w:p>
    <w:p w:rsidR="006C4A65" w:rsidRPr="00793A03" w:rsidRDefault="006C4A65" w:rsidP="006C4A65">
      <w:pPr>
        <w:autoSpaceDE w:val="0"/>
        <w:autoSpaceDN w:val="0"/>
        <w:adjustRightInd w:val="0"/>
        <w:ind w:firstLine="567"/>
        <w:jc w:val="both"/>
      </w:pPr>
      <w:r w:rsidRPr="00793A03">
        <w:t>С учетом изложенного, суд кассационной инстанции приходит к выводу о том, что производство по настоящему делу не подлежало приостановлению в соответствии с частью 2 статьи 71 АПК ПМР, ввиду отсутствия к тому оснований. Между тем, приостановление производства по данному делу при отсутствии  оснований влечет затягивание арбитражного процесса и не способствует выполнению арбитражным судом задач судопроизводства, сформулированных в статье 2 АПК ПМР.</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Кроме того, в соответствии с подпунктом 4 пункта 2 статьи 128 АПК ПМР определение суда первой инстанции должно содержать мотивы, по которым арбитражный суд пришел к своим выводам, со ссылкой на законы и иные нормативные правовые акты. Однако, в нарушение приведенной нормы процессуального права оспариваемое определение такой мотивировки не содержит.</w:t>
      </w:r>
    </w:p>
    <w:p w:rsidR="006C4A65" w:rsidRPr="00793A03" w:rsidRDefault="006C4A65" w:rsidP="006C4A65">
      <w:pPr>
        <w:pStyle w:val="a9"/>
        <w:ind w:firstLine="567"/>
        <w:jc w:val="both"/>
        <w:rPr>
          <w:rFonts w:ascii="Times New Roman" w:hAnsi="Times New Roman"/>
          <w:sz w:val="24"/>
          <w:szCs w:val="24"/>
        </w:rPr>
      </w:pPr>
      <w:r w:rsidRPr="00793A03">
        <w:rPr>
          <w:rFonts w:ascii="Times New Roman" w:hAnsi="Times New Roman"/>
          <w:sz w:val="24"/>
          <w:szCs w:val="24"/>
        </w:rPr>
        <w:t>Так, приостанавливая производство по делу, суд первой инстанции лишь констатировал факт оспаривания ненормативного акта, на который ссылался таможенный орган в обоснование возражений на заявление, и не указал</w:t>
      </w:r>
      <w:r w:rsidR="00793A03">
        <w:rPr>
          <w:rFonts w:ascii="Times New Roman" w:hAnsi="Times New Roman"/>
          <w:sz w:val="24"/>
          <w:szCs w:val="24"/>
        </w:rPr>
        <w:t>,</w:t>
      </w:r>
      <w:r w:rsidRPr="00793A03">
        <w:rPr>
          <w:rFonts w:ascii="Times New Roman" w:hAnsi="Times New Roman"/>
          <w:sz w:val="24"/>
          <w:szCs w:val="24"/>
        </w:rPr>
        <w:t xml:space="preserve"> каким образом данное обстоятельство препятствует полному и всестороннему рассмотрению дела</w:t>
      </w:r>
      <w:r w:rsidR="00793A03">
        <w:rPr>
          <w:rFonts w:ascii="Times New Roman" w:hAnsi="Times New Roman"/>
          <w:sz w:val="24"/>
          <w:szCs w:val="24"/>
        </w:rPr>
        <w:t xml:space="preserve"> </w:t>
      </w:r>
      <w:r w:rsidRPr="00793A03">
        <w:rPr>
          <w:rFonts w:ascii="Times New Roman" w:hAnsi="Times New Roman"/>
          <w:sz w:val="24"/>
          <w:szCs w:val="24"/>
        </w:rPr>
        <w:t xml:space="preserve">либо затрудняет такое рассмотрение и принятие решения по делу. </w:t>
      </w:r>
    </w:p>
    <w:p w:rsidR="006C4A65" w:rsidRPr="00793A03" w:rsidRDefault="006C4A65" w:rsidP="006C4A65">
      <w:pPr>
        <w:pStyle w:val="a5"/>
        <w:rPr>
          <w:szCs w:val="24"/>
        </w:rPr>
      </w:pPr>
      <w:r w:rsidRPr="00793A03">
        <w:rPr>
          <w:szCs w:val="24"/>
        </w:rPr>
        <w:t>Нарушение судом приведенных выше норм процессуального права привело к принятию неправильного определения, что согласно</w:t>
      </w:r>
      <w:r w:rsidR="00A236DF" w:rsidRPr="00793A03">
        <w:rPr>
          <w:szCs w:val="24"/>
        </w:rPr>
        <w:t xml:space="preserve"> подпункту </w:t>
      </w:r>
      <w:r w:rsidR="00793A03">
        <w:rPr>
          <w:szCs w:val="24"/>
        </w:rPr>
        <w:t>4</w:t>
      </w:r>
      <w:r w:rsidR="00A236DF" w:rsidRPr="00793A03">
        <w:rPr>
          <w:szCs w:val="24"/>
        </w:rPr>
        <w:t xml:space="preserve"> пункта 1 </w:t>
      </w:r>
      <w:r w:rsidR="00793A03">
        <w:rPr>
          <w:szCs w:val="24"/>
        </w:rPr>
        <w:t xml:space="preserve">АПК ПМР в </w:t>
      </w:r>
      <w:r w:rsidR="00A236DF" w:rsidRPr="00793A03">
        <w:rPr>
          <w:szCs w:val="24"/>
        </w:rPr>
        <w:t xml:space="preserve"> </w:t>
      </w:r>
      <w:r w:rsidR="00793A03">
        <w:rPr>
          <w:szCs w:val="24"/>
        </w:rPr>
        <w:t xml:space="preserve">корреспонденции с </w:t>
      </w:r>
      <w:r w:rsidRPr="00793A03">
        <w:rPr>
          <w:szCs w:val="24"/>
        </w:rPr>
        <w:t>пункт</w:t>
      </w:r>
      <w:r w:rsidR="00793A03">
        <w:rPr>
          <w:szCs w:val="24"/>
        </w:rPr>
        <w:t>ом</w:t>
      </w:r>
      <w:r w:rsidRPr="00793A03">
        <w:rPr>
          <w:szCs w:val="24"/>
        </w:rPr>
        <w:t xml:space="preserve"> 2 статьи 152 АПК ПМР является основанием для отмены судебного акта в кассационном порядке.</w:t>
      </w:r>
    </w:p>
    <w:p w:rsidR="006C4A65" w:rsidRPr="00793A03" w:rsidRDefault="006C4A65" w:rsidP="006C4A65">
      <w:pPr>
        <w:pStyle w:val="a5"/>
        <w:rPr>
          <w:szCs w:val="24"/>
        </w:rPr>
      </w:pPr>
      <w:r w:rsidRPr="00793A03">
        <w:rPr>
          <w:szCs w:val="24"/>
        </w:rPr>
        <w:t>В связи с изложенным, определение Арбитражного суда ПМР от 29 февраля 2016 года по делу № 1776/15-10 подлежит отмене, а дело передаче в суд первой инстанции для рассмотрения по существу.</w:t>
      </w:r>
    </w:p>
    <w:p w:rsidR="006C4A65" w:rsidRPr="00793A03" w:rsidRDefault="006C4A65" w:rsidP="006C4A65">
      <w:pPr>
        <w:pStyle w:val="a5"/>
        <w:rPr>
          <w:szCs w:val="24"/>
        </w:rPr>
      </w:pPr>
      <w:r w:rsidRPr="00793A03">
        <w:rPr>
          <w:szCs w:val="24"/>
        </w:rPr>
        <w:t>Государственная пошлина не взыскивается, поскольку Законом ПРМ «О государственной пошлине» не предусмотрена оплата таковой при обращении в арбитражный суд с кассационными жалобами на определения суда о приостановлении производства по делу.</w:t>
      </w:r>
    </w:p>
    <w:p w:rsidR="006C4A65" w:rsidRPr="00793A03" w:rsidRDefault="00A236DF" w:rsidP="006C4A65">
      <w:pPr>
        <w:suppressAutoHyphens/>
        <w:autoSpaceDE w:val="0"/>
        <w:autoSpaceDN w:val="0"/>
        <w:adjustRightInd w:val="0"/>
        <w:ind w:right="49" w:firstLine="567"/>
        <w:jc w:val="both"/>
      </w:pPr>
      <w:r w:rsidRPr="00793A03">
        <w:lastRenderedPageBreak/>
        <w:t>Руководствуясь подпунктом 3</w:t>
      </w:r>
      <w:r w:rsidR="006C4A65" w:rsidRPr="00793A03">
        <w:t xml:space="preserve">) статьи 151, </w:t>
      </w:r>
      <w:r w:rsidRPr="00793A03">
        <w:t xml:space="preserve">подпунктом </w:t>
      </w:r>
      <w:r w:rsidR="008E5537" w:rsidRPr="00793A03">
        <w:t>4</w:t>
      </w:r>
      <w:r w:rsidRPr="00793A03">
        <w:t xml:space="preserve"> пункта 1 и пунктом 2 статьи 152, </w:t>
      </w:r>
      <w:r w:rsidR="006C4A65" w:rsidRPr="00793A03">
        <w:t>статьей 153, пунктом 4 статьи 155 Арбитражного процессуального кодекса Приднестровской Молдавской Республики, суд кассационной инстанции Арбитражного суда ПМР</w:t>
      </w:r>
    </w:p>
    <w:p w:rsidR="006C4A65" w:rsidRPr="00793A03" w:rsidRDefault="006C4A65" w:rsidP="006C4A65">
      <w:pPr>
        <w:suppressAutoHyphens/>
        <w:autoSpaceDE w:val="0"/>
        <w:autoSpaceDN w:val="0"/>
        <w:adjustRightInd w:val="0"/>
        <w:ind w:right="49" w:firstLine="567"/>
        <w:jc w:val="both"/>
      </w:pPr>
    </w:p>
    <w:p w:rsidR="006C4A65" w:rsidRPr="00793A03" w:rsidRDefault="006C4A65" w:rsidP="006C4A65">
      <w:pPr>
        <w:suppressAutoHyphens/>
        <w:autoSpaceDE w:val="0"/>
        <w:autoSpaceDN w:val="0"/>
        <w:adjustRightInd w:val="0"/>
        <w:ind w:right="49" w:firstLine="567"/>
        <w:jc w:val="both"/>
        <w:rPr>
          <w:b/>
        </w:rPr>
      </w:pPr>
      <w:r w:rsidRPr="00793A03">
        <w:rPr>
          <w:b/>
        </w:rPr>
        <w:t>П О С Т А Н О В И Л:</w:t>
      </w:r>
    </w:p>
    <w:p w:rsidR="006C4A65" w:rsidRPr="00793A03" w:rsidRDefault="006C4A65" w:rsidP="006C4A65">
      <w:pPr>
        <w:suppressAutoHyphens/>
        <w:autoSpaceDE w:val="0"/>
        <w:autoSpaceDN w:val="0"/>
        <w:adjustRightInd w:val="0"/>
        <w:ind w:right="49" w:firstLine="567"/>
        <w:jc w:val="both"/>
      </w:pPr>
    </w:p>
    <w:p w:rsidR="006C4A65" w:rsidRPr="00793A03" w:rsidRDefault="006C4A65" w:rsidP="006C4A65">
      <w:pPr>
        <w:suppressAutoHyphens/>
        <w:autoSpaceDE w:val="0"/>
        <w:autoSpaceDN w:val="0"/>
        <w:adjustRightInd w:val="0"/>
        <w:ind w:right="49" w:firstLine="567"/>
        <w:jc w:val="both"/>
      </w:pPr>
      <w:r w:rsidRPr="00793A03">
        <w:t>1. Кассационную жалобу Государственного таможенного комитета Приднестровской Молдавской Республики удовлетворить.</w:t>
      </w:r>
    </w:p>
    <w:p w:rsidR="006C4A65" w:rsidRPr="00793A03" w:rsidRDefault="006C4A65" w:rsidP="006C4A65">
      <w:pPr>
        <w:suppressAutoHyphens/>
        <w:autoSpaceDE w:val="0"/>
        <w:autoSpaceDN w:val="0"/>
        <w:adjustRightInd w:val="0"/>
        <w:ind w:right="49" w:firstLine="567"/>
        <w:jc w:val="both"/>
      </w:pPr>
      <w:r w:rsidRPr="00793A03">
        <w:t>2. Отменить определение Арбитражного суда ПМР от 29 февраля 2016 года по делу № 1776/15-10 и передать дело для рассмотрения по существу в суд первой инстанции.</w:t>
      </w:r>
    </w:p>
    <w:p w:rsidR="006C4A65" w:rsidRPr="00793A03" w:rsidRDefault="006C4A65" w:rsidP="006C4A65">
      <w:pPr>
        <w:suppressAutoHyphens/>
        <w:autoSpaceDE w:val="0"/>
        <w:autoSpaceDN w:val="0"/>
        <w:adjustRightInd w:val="0"/>
        <w:ind w:right="49" w:firstLine="567"/>
        <w:jc w:val="both"/>
      </w:pPr>
    </w:p>
    <w:p w:rsidR="006C4A65" w:rsidRPr="00793A03" w:rsidRDefault="006C4A65" w:rsidP="006C4A65">
      <w:pPr>
        <w:suppressAutoHyphens/>
        <w:autoSpaceDE w:val="0"/>
        <w:autoSpaceDN w:val="0"/>
        <w:adjustRightInd w:val="0"/>
        <w:ind w:right="49" w:firstLine="567"/>
        <w:jc w:val="both"/>
      </w:pPr>
      <w:r w:rsidRPr="00793A03">
        <w:t>Постановление вступает в законную силу со дня его принятия и обжалованию не подлежит.</w:t>
      </w:r>
    </w:p>
    <w:p w:rsidR="006C4A65" w:rsidRPr="00793A03" w:rsidRDefault="006C4A65" w:rsidP="006C4A65">
      <w:pPr>
        <w:suppressAutoHyphens/>
        <w:autoSpaceDE w:val="0"/>
        <w:autoSpaceDN w:val="0"/>
        <w:adjustRightInd w:val="0"/>
        <w:ind w:right="49" w:firstLine="567"/>
        <w:jc w:val="both"/>
      </w:pPr>
    </w:p>
    <w:p w:rsidR="006C4A65" w:rsidRPr="00793A03" w:rsidRDefault="006C4A65" w:rsidP="006C4A65">
      <w:pPr>
        <w:suppressAutoHyphens/>
        <w:autoSpaceDE w:val="0"/>
        <w:autoSpaceDN w:val="0"/>
        <w:adjustRightInd w:val="0"/>
        <w:ind w:right="49" w:firstLine="567"/>
        <w:jc w:val="both"/>
      </w:pPr>
      <w:r w:rsidRPr="00793A03">
        <w:t xml:space="preserve">Заместитель Председателя </w:t>
      </w:r>
    </w:p>
    <w:p w:rsidR="006C4A65" w:rsidRPr="00793A03" w:rsidRDefault="006C4A65" w:rsidP="006C4A65">
      <w:pPr>
        <w:suppressAutoHyphens/>
        <w:autoSpaceDE w:val="0"/>
        <w:autoSpaceDN w:val="0"/>
        <w:adjustRightInd w:val="0"/>
        <w:ind w:right="49" w:firstLine="567"/>
        <w:jc w:val="both"/>
      </w:pPr>
      <w:r w:rsidRPr="00793A03">
        <w:t>Арбитражного суда ПМР</w:t>
      </w:r>
      <w:r w:rsidRPr="00793A03">
        <w:tab/>
      </w:r>
      <w:r w:rsidRPr="00793A03">
        <w:tab/>
      </w:r>
      <w:r w:rsidRPr="00793A03">
        <w:tab/>
      </w:r>
      <w:r w:rsidRPr="00793A03">
        <w:tab/>
      </w:r>
      <w:r w:rsidRPr="00793A03">
        <w:tab/>
      </w:r>
      <w:r w:rsidRPr="00793A03">
        <w:tab/>
      </w:r>
      <w:r w:rsidRPr="00793A03">
        <w:tab/>
        <w:t>Е.В.Лука</w:t>
      </w:r>
      <w:r w:rsidRPr="00793A03">
        <w:tab/>
      </w:r>
    </w:p>
    <w:p w:rsidR="006C4A65" w:rsidRPr="00B57968" w:rsidRDefault="006C4A65" w:rsidP="006C4A65">
      <w:pPr>
        <w:pStyle w:val="a5"/>
        <w:rPr>
          <w:szCs w:val="24"/>
        </w:rPr>
      </w:pPr>
      <w:r w:rsidRPr="00B57968">
        <w:rPr>
          <w:szCs w:val="24"/>
        </w:rPr>
        <w:tab/>
      </w:r>
      <w:r w:rsidRPr="00B57968">
        <w:rPr>
          <w:szCs w:val="24"/>
        </w:rPr>
        <w:tab/>
      </w:r>
      <w:r w:rsidRPr="00B57968">
        <w:rPr>
          <w:szCs w:val="24"/>
        </w:rPr>
        <w:tab/>
      </w:r>
      <w:r w:rsidRPr="00B57968">
        <w:rPr>
          <w:szCs w:val="24"/>
        </w:rPr>
        <w:tab/>
      </w:r>
      <w:r w:rsidRPr="00B57968">
        <w:rPr>
          <w:szCs w:val="24"/>
        </w:rPr>
        <w:tab/>
      </w:r>
    </w:p>
    <w:sectPr w:rsidR="006C4A65" w:rsidRPr="00B57968"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C02" w:rsidRDefault="003E1C02">
      <w:r>
        <w:separator/>
      </w:r>
    </w:p>
  </w:endnote>
  <w:endnote w:type="continuationSeparator" w:id="1">
    <w:p w:rsidR="003E1C02" w:rsidRDefault="003E1C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3D" w:rsidRDefault="001510A6" w:rsidP="0038503F">
    <w:pPr>
      <w:pStyle w:val="aa"/>
      <w:framePr w:wrap="around" w:vAnchor="text" w:hAnchor="margin" w:xAlign="outside" w:y="1"/>
      <w:rPr>
        <w:rStyle w:val="ab"/>
      </w:rPr>
    </w:pPr>
    <w:r>
      <w:rPr>
        <w:rStyle w:val="ab"/>
      </w:rPr>
      <w:fldChar w:fldCharType="begin"/>
    </w:r>
    <w:r w:rsidR="00CE603D">
      <w:rPr>
        <w:rStyle w:val="ab"/>
      </w:rPr>
      <w:instrText xml:space="preserve">PAGE  </w:instrText>
    </w:r>
    <w:r>
      <w:rPr>
        <w:rStyle w:val="ab"/>
      </w:rPr>
      <w:fldChar w:fldCharType="end"/>
    </w:r>
  </w:p>
  <w:p w:rsidR="00CE603D" w:rsidRDefault="00CE603D"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3D" w:rsidRDefault="001510A6" w:rsidP="00EF3E9E">
    <w:pPr>
      <w:pStyle w:val="aa"/>
      <w:framePr w:h="820" w:hRule="exact" w:wrap="around" w:vAnchor="text" w:hAnchor="page" w:x="761" w:y="-421"/>
      <w:rPr>
        <w:rStyle w:val="ab"/>
      </w:rPr>
    </w:pPr>
    <w:r>
      <w:rPr>
        <w:rStyle w:val="ab"/>
      </w:rPr>
      <w:fldChar w:fldCharType="begin"/>
    </w:r>
    <w:r w:rsidR="00CE603D">
      <w:rPr>
        <w:rStyle w:val="ab"/>
      </w:rPr>
      <w:instrText xml:space="preserve">PAGE  </w:instrText>
    </w:r>
    <w:r>
      <w:rPr>
        <w:rStyle w:val="ab"/>
      </w:rPr>
      <w:fldChar w:fldCharType="separate"/>
    </w:r>
    <w:r w:rsidR="004945E7">
      <w:rPr>
        <w:rStyle w:val="ab"/>
        <w:noProof/>
      </w:rPr>
      <w:t>1</w:t>
    </w:r>
    <w:r>
      <w:rPr>
        <w:rStyle w:val="ab"/>
      </w:rPr>
      <w:fldChar w:fldCharType="end"/>
    </w:r>
  </w:p>
  <w:p w:rsidR="00CE603D" w:rsidRDefault="00CE603D"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C02" w:rsidRDefault="003E1C02">
      <w:r>
        <w:separator/>
      </w:r>
    </w:p>
  </w:footnote>
  <w:footnote w:type="continuationSeparator" w:id="1">
    <w:p w:rsidR="003E1C02" w:rsidRDefault="003E1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1">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0"/>
    <w:footnote w:id="1"/>
  </w:footnotePr>
  <w:endnotePr>
    <w:endnote w:id="0"/>
    <w:endnote w:id="1"/>
  </w:endnotePr>
  <w:compat/>
  <w:rsids>
    <w:rsidRoot w:val="00E020D3"/>
    <w:rsid w:val="0000343B"/>
    <w:rsid w:val="00004C63"/>
    <w:rsid w:val="00010052"/>
    <w:rsid w:val="000252A0"/>
    <w:rsid w:val="00025ACA"/>
    <w:rsid w:val="00025F36"/>
    <w:rsid w:val="0002658F"/>
    <w:rsid w:val="00026871"/>
    <w:rsid w:val="000303BE"/>
    <w:rsid w:val="000324AA"/>
    <w:rsid w:val="00036192"/>
    <w:rsid w:val="00037615"/>
    <w:rsid w:val="00042B93"/>
    <w:rsid w:val="00044F76"/>
    <w:rsid w:val="000475F5"/>
    <w:rsid w:val="00051C24"/>
    <w:rsid w:val="00055A0B"/>
    <w:rsid w:val="0006267D"/>
    <w:rsid w:val="0006796F"/>
    <w:rsid w:val="00073660"/>
    <w:rsid w:val="00073E29"/>
    <w:rsid w:val="00074875"/>
    <w:rsid w:val="00077CCF"/>
    <w:rsid w:val="00080EA4"/>
    <w:rsid w:val="000818C6"/>
    <w:rsid w:val="00081B15"/>
    <w:rsid w:val="00085992"/>
    <w:rsid w:val="00087F40"/>
    <w:rsid w:val="00094E21"/>
    <w:rsid w:val="000A15F7"/>
    <w:rsid w:val="000A7DB5"/>
    <w:rsid w:val="000C13ED"/>
    <w:rsid w:val="000C4921"/>
    <w:rsid w:val="000C6B4B"/>
    <w:rsid w:val="000C712E"/>
    <w:rsid w:val="000C79AF"/>
    <w:rsid w:val="000D07E9"/>
    <w:rsid w:val="000D4A07"/>
    <w:rsid w:val="000E06B3"/>
    <w:rsid w:val="000E4568"/>
    <w:rsid w:val="000E51E9"/>
    <w:rsid w:val="000E5701"/>
    <w:rsid w:val="000E5AB3"/>
    <w:rsid w:val="000E5F28"/>
    <w:rsid w:val="000F227D"/>
    <w:rsid w:val="000F26AD"/>
    <w:rsid w:val="00105D41"/>
    <w:rsid w:val="001072C6"/>
    <w:rsid w:val="0011234A"/>
    <w:rsid w:val="00116456"/>
    <w:rsid w:val="0011758E"/>
    <w:rsid w:val="00117A13"/>
    <w:rsid w:val="00121664"/>
    <w:rsid w:val="00123702"/>
    <w:rsid w:val="00124D68"/>
    <w:rsid w:val="00124D96"/>
    <w:rsid w:val="001315AC"/>
    <w:rsid w:val="001323F9"/>
    <w:rsid w:val="00132F15"/>
    <w:rsid w:val="00133767"/>
    <w:rsid w:val="0014107C"/>
    <w:rsid w:val="0014334A"/>
    <w:rsid w:val="001466F7"/>
    <w:rsid w:val="00150D27"/>
    <w:rsid w:val="001510A6"/>
    <w:rsid w:val="001557F4"/>
    <w:rsid w:val="00156196"/>
    <w:rsid w:val="00160A4B"/>
    <w:rsid w:val="001626F8"/>
    <w:rsid w:val="001712FA"/>
    <w:rsid w:val="00174A47"/>
    <w:rsid w:val="00175806"/>
    <w:rsid w:val="00177076"/>
    <w:rsid w:val="00186DA0"/>
    <w:rsid w:val="001870D3"/>
    <w:rsid w:val="001871B1"/>
    <w:rsid w:val="00193707"/>
    <w:rsid w:val="00194666"/>
    <w:rsid w:val="00194862"/>
    <w:rsid w:val="001A0128"/>
    <w:rsid w:val="001A0743"/>
    <w:rsid w:val="001A0D27"/>
    <w:rsid w:val="001A3A18"/>
    <w:rsid w:val="001B735C"/>
    <w:rsid w:val="001C0376"/>
    <w:rsid w:val="001C1707"/>
    <w:rsid w:val="001C28F7"/>
    <w:rsid w:val="001C408D"/>
    <w:rsid w:val="001C59F2"/>
    <w:rsid w:val="001D3FB1"/>
    <w:rsid w:val="001D56DA"/>
    <w:rsid w:val="001E1481"/>
    <w:rsid w:val="001E35AB"/>
    <w:rsid w:val="001E6AB8"/>
    <w:rsid w:val="001F1105"/>
    <w:rsid w:val="001F2ECA"/>
    <w:rsid w:val="001F31A5"/>
    <w:rsid w:val="00201274"/>
    <w:rsid w:val="002102C9"/>
    <w:rsid w:val="002104ED"/>
    <w:rsid w:val="0021089C"/>
    <w:rsid w:val="00220855"/>
    <w:rsid w:val="00220D92"/>
    <w:rsid w:val="002235DC"/>
    <w:rsid w:val="00232485"/>
    <w:rsid w:val="002325D2"/>
    <w:rsid w:val="00232D79"/>
    <w:rsid w:val="00236AE6"/>
    <w:rsid w:val="0023747E"/>
    <w:rsid w:val="00237615"/>
    <w:rsid w:val="00237629"/>
    <w:rsid w:val="00237E00"/>
    <w:rsid w:val="00243AD2"/>
    <w:rsid w:val="00244B9F"/>
    <w:rsid w:val="00254FCA"/>
    <w:rsid w:val="00256E94"/>
    <w:rsid w:val="00260324"/>
    <w:rsid w:val="00260C67"/>
    <w:rsid w:val="00260F4B"/>
    <w:rsid w:val="00261C83"/>
    <w:rsid w:val="00262B8D"/>
    <w:rsid w:val="00266428"/>
    <w:rsid w:val="002728EB"/>
    <w:rsid w:val="002816E3"/>
    <w:rsid w:val="00281CCF"/>
    <w:rsid w:val="00283537"/>
    <w:rsid w:val="0028678F"/>
    <w:rsid w:val="002908EA"/>
    <w:rsid w:val="00295B62"/>
    <w:rsid w:val="002A32EC"/>
    <w:rsid w:val="002A7D8B"/>
    <w:rsid w:val="002B385E"/>
    <w:rsid w:val="002B387A"/>
    <w:rsid w:val="002B6B9F"/>
    <w:rsid w:val="002C3014"/>
    <w:rsid w:val="002C6E1A"/>
    <w:rsid w:val="002D4719"/>
    <w:rsid w:val="002E094E"/>
    <w:rsid w:val="002E12B8"/>
    <w:rsid w:val="002E61C7"/>
    <w:rsid w:val="002F1919"/>
    <w:rsid w:val="00301101"/>
    <w:rsid w:val="003018B9"/>
    <w:rsid w:val="003042E9"/>
    <w:rsid w:val="00307486"/>
    <w:rsid w:val="00307DFA"/>
    <w:rsid w:val="00310422"/>
    <w:rsid w:val="003115F5"/>
    <w:rsid w:val="003157BB"/>
    <w:rsid w:val="003162FA"/>
    <w:rsid w:val="00321BE0"/>
    <w:rsid w:val="003220E4"/>
    <w:rsid w:val="0032500B"/>
    <w:rsid w:val="00326BCD"/>
    <w:rsid w:val="00327EB3"/>
    <w:rsid w:val="00331027"/>
    <w:rsid w:val="00331F39"/>
    <w:rsid w:val="003330B6"/>
    <w:rsid w:val="00337200"/>
    <w:rsid w:val="00345ABA"/>
    <w:rsid w:val="00347216"/>
    <w:rsid w:val="00351BD4"/>
    <w:rsid w:val="00362AC4"/>
    <w:rsid w:val="00362B03"/>
    <w:rsid w:val="003641F8"/>
    <w:rsid w:val="0037103B"/>
    <w:rsid w:val="0037141E"/>
    <w:rsid w:val="003718A2"/>
    <w:rsid w:val="00371D6C"/>
    <w:rsid w:val="00375613"/>
    <w:rsid w:val="00376C51"/>
    <w:rsid w:val="00381CA1"/>
    <w:rsid w:val="00381DC9"/>
    <w:rsid w:val="0038372B"/>
    <w:rsid w:val="0038503F"/>
    <w:rsid w:val="00386CEB"/>
    <w:rsid w:val="0039119E"/>
    <w:rsid w:val="00396A7B"/>
    <w:rsid w:val="003A1278"/>
    <w:rsid w:val="003A1554"/>
    <w:rsid w:val="003A61DC"/>
    <w:rsid w:val="003B3739"/>
    <w:rsid w:val="003C3A94"/>
    <w:rsid w:val="003C6A69"/>
    <w:rsid w:val="003C7819"/>
    <w:rsid w:val="003D01E7"/>
    <w:rsid w:val="003D3589"/>
    <w:rsid w:val="003E043F"/>
    <w:rsid w:val="003E0942"/>
    <w:rsid w:val="003E1C02"/>
    <w:rsid w:val="003E23CE"/>
    <w:rsid w:val="003F1B1F"/>
    <w:rsid w:val="003F2A4A"/>
    <w:rsid w:val="003F2ABD"/>
    <w:rsid w:val="003F2BDF"/>
    <w:rsid w:val="003F3D61"/>
    <w:rsid w:val="003F6315"/>
    <w:rsid w:val="00400E86"/>
    <w:rsid w:val="0040131D"/>
    <w:rsid w:val="004016FC"/>
    <w:rsid w:val="0040425D"/>
    <w:rsid w:val="00405CEF"/>
    <w:rsid w:val="004069CD"/>
    <w:rsid w:val="00406C3A"/>
    <w:rsid w:val="00410832"/>
    <w:rsid w:val="0041530D"/>
    <w:rsid w:val="0041764D"/>
    <w:rsid w:val="0042528C"/>
    <w:rsid w:val="0042590B"/>
    <w:rsid w:val="00437409"/>
    <w:rsid w:val="00440C9B"/>
    <w:rsid w:val="0044774B"/>
    <w:rsid w:val="004634A4"/>
    <w:rsid w:val="004700C5"/>
    <w:rsid w:val="004713F7"/>
    <w:rsid w:val="004768F9"/>
    <w:rsid w:val="00480B17"/>
    <w:rsid w:val="00482DAD"/>
    <w:rsid w:val="0048535D"/>
    <w:rsid w:val="00485BF2"/>
    <w:rsid w:val="004945E7"/>
    <w:rsid w:val="004A09F9"/>
    <w:rsid w:val="004A1033"/>
    <w:rsid w:val="004A215E"/>
    <w:rsid w:val="004B2AB5"/>
    <w:rsid w:val="004B3729"/>
    <w:rsid w:val="004B58AA"/>
    <w:rsid w:val="004C5F41"/>
    <w:rsid w:val="004D0705"/>
    <w:rsid w:val="004D0E09"/>
    <w:rsid w:val="004D2955"/>
    <w:rsid w:val="004E5467"/>
    <w:rsid w:val="004E7C9F"/>
    <w:rsid w:val="004F2FC9"/>
    <w:rsid w:val="004F79F1"/>
    <w:rsid w:val="0050092E"/>
    <w:rsid w:val="005015D7"/>
    <w:rsid w:val="005034B0"/>
    <w:rsid w:val="00506620"/>
    <w:rsid w:val="00510F27"/>
    <w:rsid w:val="00510FE9"/>
    <w:rsid w:val="005121DD"/>
    <w:rsid w:val="005129E6"/>
    <w:rsid w:val="005233B8"/>
    <w:rsid w:val="005246DF"/>
    <w:rsid w:val="00524982"/>
    <w:rsid w:val="00530651"/>
    <w:rsid w:val="00531C25"/>
    <w:rsid w:val="00537270"/>
    <w:rsid w:val="0053770A"/>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80823"/>
    <w:rsid w:val="00582A93"/>
    <w:rsid w:val="005837EB"/>
    <w:rsid w:val="00585FDF"/>
    <w:rsid w:val="00586645"/>
    <w:rsid w:val="0058791D"/>
    <w:rsid w:val="00587DAA"/>
    <w:rsid w:val="0059305C"/>
    <w:rsid w:val="005946E2"/>
    <w:rsid w:val="00594762"/>
    <w:rsid w:val="005975C9"/>
    <w:rsid w:val="005A14B5"/>
    <w:rsid w:val="005A2B24"/>
    <w:rsid w:val="005A3392"/>
    <w:rsid w:val="005A3DAF"/>
    <w:rsid w:val="005A4E0F"/>
    <w:rsid w:val="005A753F"/>
    <w:rsid w:val="005B039F"/>
    <w:rsid w:val="005B278A"/>
    <w:rsid w:val="005C7C16"/>
    <w:rsid w:val="005E202F"/>
    <w:rsid w:val="005E4090"/>
    <w:rsid w:val="005E4971"/>
    <w:rsid w:val="005E4A80"/>
    <w:rsid w:val="005E6DFC"/>
    <w:rsid w:val="005E7E88"/>
    <w:rsid w:val="005F17C0"/>
    <w:rsid w:val="005F34F6"/>
    <w:rsid w:val="005F7661"/>
    <w:rsid w:val="00602A80"/>
    <w:rsid w:val="0061740A"/>
    <w:rsid w:val="0062210F"/>
    <w:rsid w:val="006239AE"/>
    <w:rsid w:val="006255BA"/>
    <w:rsid w:val="0062681F"/>
    <w:rsid w:val="00634D24"/>
    <w:rsid w:val="00635A8C"/>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839"/>
    <w:rsid w:val="006771AA"/>
    <w:rsid w:val="00681EA4"/>
    <w:rsid w:val="00684CC9"/>
    <w:rsid w:val="006905E4"/>
    <w:rsid w:val="00690985"/>
    <w:rsid w:val="0069656F"/>
    <w:rsid w:val="00697632"/>
    <w:rsid w:val="00697FBA"/>
    <w:rsid w:val="006A5737"/>
    <w:rsid w:val="006B587C"/>
    <w:rsid w:val="006B73C6"/>
    <w:rsid w:val="006B7955"/>
    <w:rsid w:val="006C01F3"/>
    <w:rsid w:val="006C16C6"/>
    <w:rsid w:val="006C4A65"/>
    <w:rsid w:val="006C6917"/>
    <w:rsid w:val="006E06FC"/>
    <w:rsid w:val="006E101C"/>
    <w:rsid w:val="006E3098"/>
    <w:rsid w:val="006E33F9"/>
    <w:rsid w:val="006E365B"/>
    <w:rsid w:val="006E3AC9"/>
    <w:rsid w:val="006F34DD"/>
    <w:rsid w:val="006F37B2"/>
    <w:rsid w:val="006F7BD1"/>
    <w:rsid w:val="00702D2A"/>
    <w:rsid w:val="00711729"/>
    <w:rsid w:val="00717F11"/>
    <w:rsid w:val="00724120"/>
    <w:rsid w:val="007256FB"/>
    <w:rsid w:val="0072644C"/>
    <w:rsid w:val="007309DA"/>
    <w:rsid w:val="00755016"/>
    <w:rsid w:val="00761701"/>
    <w:rsid w:val="00767619"/>
    <w:rsid w:val="007731C2"/>
    <w:rsid w:val="00773D2E"/>
    <w:rsid w:val="0077487D"/>
    <w:rsid w:val="00776C36"/>
    <w:rsid w:val="00777ACF"/>
    <w:rsid w:val="007823CF"/>
    <w:rsid w:val="00782FEC"/>
    <w:rsid w:val="007831B3"/>
    <w:rsid w:val="007833D2"/>
    <w:rsid w:val="0078342E"/>
    <w:rsid w:val="00786184"/>
    <w:rsid w:val="00791A41"/>
    <w:rsid w:val="00792004"/>
    <w:rsid w:val="00793A03"/>
    <w:rsid w:val="007A283E"/>
    <w:rsid w:val="007A5FBB"/>
    <w:rsid w:val="007B556D"/>
    <w:rsid w:val="007B62FF"/>
    <w:rsid w:val="007C141C"/>
    <w:rsid w:val="007C28C5"/>
    <w:rsid w:val="007C4016"/>
    <w:rsid w:val="007C4CD0"/>
    <w:rsid w:val="007D0229"/>
    <w:rsid w:val="007D0D43"/>
    <w:rsid w:val="007D1AB2"/>
    <w:rsid w:val="007D1F2F"/>
    <w:rsid w:val="007D6FE9"/>
    <w:rsid w:val="007E7350"/>
    <w:rsid w:val="007E74C7"/>
    <w:rsid w:val="007F57EC"/>
    <w:rsid w:val="008004E2"/>
    <w:rsid w:val="00801E8D"/>
    <w:rsid w:val="00812FCE"/>
    <w:rsid w:val="00816395"/>
    <w:rsid w:val="00823053"/>
    <w:rsid w:val="00824490"/>
    <w:rsid w:val="008308C3"/>
    <w:rsid w:val="008427AB"/>
    <w:rsid w:val="00844B97"/>
    <w:rsid w:val="00845CCA"/>
    <w:rsid w:val="0085320A"/>
    <w:rsid w:val="00853317"/>
    <w:rsid w:val="00857773"/>
    <w:rsid w:val="0086498B"/>
    <w:rsid w:val="00866594"/>
    <w:rsid w:val="00871577"/>
    <w:rsid w:val="00873786"/>
    <w:rsid w:val="0088366D"/>
    <w:rsid w:val="008851BC"/>
    <w:rsid w:val="0089492A"/>
    <w:rsid w:val="00896324"/>
    <w:rsid w:val="00897FBC"/>
    <w:rsid w:val="008A057B"/>
    <w:rsid w:val="008A675D"/>
    <w:rsid w:val="008A75AA"/>
    <w:rsid w:val="008B2AD0"/>
    <w:rsid w:val="008C2B47"/>
    <w:rsid w:val="008C3837"/>
    <w:rsid w:val="008C4544"/>
    <w:rsid w:val="008C48CE"/>
    <w:rsid w:val="008C4B09"/>
    <w:rsid w:val="008D1DF4"/>
    <w:rsid w:val="008D4D54"/>
    <w:rsid w:val="008D6593"/>
    <w:rsid w:val="008E0676"/>
    <w:rsid w:val="008E25A6"/>
    <w:rsid w:val="008E4837"/>
    <w:rsid w:val="008E5138"/>
    <w:rsid w:val="008E5537"/>
    <w:rsid w:val="008E56E1"/>
    <w:rsid w:val="008F064C"/>
    <w:rsid w:val="008F2410"/>
    <w:rsid w:val="008F79A9"/>
    <w:rsid w:val="008F7D51"/>
    <w:rsid w:val="00901DB9"/>
    <w:rsid w:val="00903F5A"/>
    <w:rsid w:val="00905D47"/>
    <w:rsid w:val="00910DF7"/>
    <w:rsid w:val="009131E7"/>
    <w:rsid w:val="0091497A"/>
    <w:rsid w:val="0092215D"/>
    <w:rsid w:val="009233A3"/>
    <w:rsid w:val="00925C74"/>
    <w:rsid w:val="009278E5"/>
    <w:rsid w:val="00927CAF"/>
    <w:rsid w:val="00930D29"/>
    <w:rsid w:val="00930FC5"/>
    <w:rsid w:val="00933B4C"/>
    <w:rsid w:val="009368A9"/>
    <w:rsid w:val="009379FA"/>
    <w:rsid w:val="009426A3"/>
    <w:rsid w:val="00942CD5"/>
    <w:rsid w:val="00942FEA"/>
    <w:rsid w:val="00943215"/>
    <w:rsid w:val="00943F79"/>
    <w:rsid w:val="00944F4A"/>
    <w:rsid w:val="009516EC"/>
    <w:rsid w:val="009539C7"/>
    <w:rsid w:val="00957AFE"/>
    <w:rsid w:val="00963C5A"/>
    <w:rsid w:val="009646F3"/>
    <w:rsid w:val="00965E18"/>
    <w:rsid w:val="0098076E"/>
    <w:rsid w:val="009816C9"/>
    <w:rsid w:val="00982FF1"/>
    <w:rsid w:val="009830F1"/>
    <w:rsid w:val="00985E2A"/>
    <w:rsid w:val="00986A7C"/>
    <w:rsid w:val="0099330B"/>
    <w:rsid w:val="00996966"/>
    <w:rsid w:val="00996B19"/>
    <w:rsid w:val="009A4367"/>
    <w:rsid w:val="009A5077"/>
    <w:rsid w:val="009B6598"/>
    <w:rsid w:val="009B6681"/>
    <w:rsid w:val="009B6D5C"/>
    <w:rsid w:val="009B7EBD"/>
    <w:rsid w:val="009C3EF7"/>
    <w:rsid w:val="009C6156"/>
    <w:rsid w:val="009C7D68"/>
    <w:rsid w:val="009D1703"/>
    <w:rsid w:val="009D4569"/>
    <w:rsid w:val="009D4589"/>
    <w:rsid w:val="009D664B"/>
    <w:rsid w:val="009E0A16"/>
    <w:rsid w:val="009E0D24"/>
    <w:rsid w:val="009E2A6B"/>
    <w:rsid w:val="009E3427"/>
    <w:rsid w:val="009E7B02"/>
    <w:rsid w:val="009E7D5F"/>
    <w:rsid w:val="009F5423"/>
    <w:rsid w:val="009F56D8"/>
    <w:rsid w:val="009F5A3B"/>
    <w:rsid w:val="009F69F5"/>
    <w:rsid w:val="009F6A88"/>
    <w:rsid w:val="009F6DB4"/>
    <w:rsid w:val="00A0068A"/>
    <w:rsid w:val="00A028C7"/>
    <w:rsid w:val="00A142D8"/>
    <w:rsid w:val="00A17008"/>
    <w:rsid w:val="00A2168C"/>
    <w:rsid w:val="00A21C58"/>
    <w:rsid w:val="00A236DF"/>
    <w:rsid w:val="00A2576E"/>
    <w:rsid w:val="00A32533"/>
    <w:rsid w:val="00A32A95"/>
    <w:rsid w:val="00A37999"/>
    <w:rsid w:val="00A44D02"/>
    <w:rsid w:val="00A56257"/>
    <w:rsid w:val="00A56ABF"/>
    <w:rsid w:val="00A61E40"/>
    <w:rsid w:val="00A63043"/>
    <w:rsid w:val="00A664CA"/>
    <w:rsid w:val="00A70DB2"/>
    <w:rsid w:val="00A7105E"/>
    <w:rsid w:val="00A71BDB"/>
    <w:rsid w:val="00A73AE9"/>
    <w:rsid w:val="00A74964"/>
    <w:rsid w:val="00A766B2"/>
    <w:rsid w:val="00A76875"/>
    <w:rsid w:val="00A77071"/>
    <w:rsid w:val="00A77A17"/>
    <w:rsid w:val="00A80144"/>
    <w:rsid w:val="00A8371C"/>
    <w:rsid w:val="00A83957"/>
    <w:rsid w:val="00A90D88"/>
    <w:rsid w:val="00A925A7"/>
    <w:rsid w:val="00A939E4"/>
    <w:rsid w:val="00A9477E"/>
    <w:rsid w:val="00A95B43"/>
    <w:rsid w:val="00A9688E"/>
    <w:rsid w:val="00AA0345"/>
    <w:rsid w:val="00AA6048"/>
    <w:rsid w:val="00AB2117"/>
    <w:rsid w:val="00AD1EA5"/>
    <w:rsid w:val="00AD2705"/>
    <w:rsid w:val="00AD75D2"/>
    <w:rsid w:val="00AE092F"/>
    <w:rsid w:val="00AE1C5D"/>
    <w:rsid w:val="00AF056A"/>
    <w:rsid w:val="00AF1256"/>
    <w:rsid w:val="00B04905"/>
    <w:rsid w:val="00B04D45"/>
    <w:rsid w:val="00B068CE"/>
    <w:rsid w:val="00B06B9A"/>
    <w:rsid w:val="00B07850"/>
    <w:rsid w:val="00B20AA9"/>
    <w:rsid w:val="00B21247"/>
    <w:rsid w:val="00B26434"/>
    <w:rsid w:val="00B26460"/>
    <w:rsid w:val="00B31F64"/>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81D3B"/>
    <w:rsid w:val="00B86C01"/>
    <w:rsid w:val="00B91EF7"/>
    <w:rsid w:val="00B93A4A"/>
    <w:rsid w:val="00B93B87"/>
    <w:rsid w:val="00B96DCB"/>
    <w:rsid w:val="00B9752F"/>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F6"/>
    <w:rsid w:val="00BE3563"/>
    <w:rsid w:val="00BF10E6"/>
    <w:rsid w:val="00BF4F7B"/>
    <w:rsid w:val="00BF6B4A"/>
    <w:rsid w:val="00C23DAB"/>
    <w:rsid w:val="00C26EA1"/>
    <w:rsid w:val="00C35680"/>
    <w:rsid w:val="00C37CAD"/>
    <w:rsid w:val="00C5482F"/>
    <w:rsid w:val="00C54BF8"/>
    <w:rsid w:val="00C571C8"/>
    <w:rsid w:val="00C6237F"/>
    <w:rsid w:val="00C62481"/>
    <w:rsid w:val="00C634F3"/>
    <w:rsid w:val="00C6433A"/>
    <w:rsid w:val="00C65732"/>
    <w:rsid w:val="00C670A5"/>
    <w:rsid w:val="00C713D8"/>
    <w:rsid w:val="00C7187D"/>
    <w:rsid w:val="00C739BD"/>
    <w:rsid w:val="00C75312"/>
    <w:rsid w:val="00C75AC9"/>
    <w:rsid w:val="00C75E86"/>
    <w:rsid w:val="00C80099"/>
    <w:rsid w:val="00C82B08"/>
    <w:rsid w:val="00C83BFF"/>
    <w:rsid w:val="00C84B80"/>
    <w:rsid w:val="00C84B98"/>
    <w:rsid w:val="00C86DE4"/>
    <w:rsid w:val="00C87AE8"/>
    <w:rsid w:val="00C931D7"/>
    <w:rsid w:val="00C935F4"/>
    <w:rsid w:val="00C94D8C"/>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E4AAD"/>
    <w:rsid w:val="00CE603D"/>
    <w:rsid w:val="00CF14A7"/>
    <w:rsid w:val="00CF6F22"/>
    <w:rsid w:val="00CF764E"/>
    <w:rsid w:val="00D108EF"/>
    <w:rsid w:val="00D120A3"/>
    <w:rsid w:val="00D14FB5"/>
    <w:rsid w:val="00D16695"/>
    <w:rsid w:val="00D2584B"/>
    <w:rsid w:val="00D2662E"/>
    <w:rsid w:val="00D27BFB"/>
    <w:rsid w:val="00D321F6"/>
    <w:rsid w:val="00D344DB"/>
    <w:rsid w:val="00D365AD"/>
    <w:rsid w:val="00D370A3"/>
    <w:rsid w:val="00D37A6C"/>
    <w:rsid w:val="00D37BF7"/>
    <w:rsid w:val="00D55693"/>
    <w:rsid w:val="00D55727"/>
    <w:rsid w:val="00D57180"/>
    <w:rsid w:val="00D63D53"/>
    <w:rsid w:val="00D64F91"/>
    <w:rsid w:val="00D67C2C"/>
    <w:rsid w:val="00D71F7B"/>
    <w:rsid w:val="00D778F2"/>
    <w:rsid w:val="00D81276"/>
    <w:rsid w:val="00D8319E"/>
    <w:rsid w:val="00D83450"/>
    <w:rsid w:val="00D85257"/>
    <w:rsid w:val="00D93E7D"/>
    <w:rsid w:val="00D95905"/>
    <w:rsid w:val="00DA0D65"/>
    <w:rsid w:val="00DA4E74"/>
    <w:rsid w:val="00DB5F7D"/>
    <w:rsid w:val="00DB62DF"/>
    <w:rsid w:val="00DC6B2C"/>
    <w:rsid w:val="00DD5FD3"/>
    <w:rsid w:val="00DD7022"/>
    <w:rsid w:val="00DE25B1"/>
    <w:rsid w:val="00DE4719"/>
    <w:rsid w:val="00DF17E9"/>
    <w:rsid w:val="00DF1CCD"/>
    <w:rsid w:val="00DF6C56"/>
    <w:rsid w:val="00E015DF"/>
    <w:rsid w:val="00E020D3"/>
    <w:rsid w:val="00E05B9D"/>
    <w:rsid w:val="00E05E87"/>
    <w:rsid w:val="00E20F1A"/>
    <w:rsid w:val="00E231D9"/>
    <w:rsid w:val="00E3298E"/>
    <w:rsid w:val="00E32D84"/>
    <w:rsid w:val="00E363AA"/>
    <w:rsid w:val="00E37791"/>
    <w:rsid w:val="00E41181"/>
    <w:rsid w:val="00E42C34"/>
    <w:rsid w:val="00E4336E"/>
    <w:rsid w:val="00E504D7"/>
    <w:rsid w:val="00E54559"/>
    <w:rsid w:val="00E619AA"/>
    <w:rsid w:val="00E63645"/>
    <w:rsid w:val="00E65EB0"/>
    <w:rsid w:val="00E66666"/>
    <w:rsid w:val="00E76F7D"/>
    <w:rsid w:val="00E80B36"/>
    <w:rsid w:val="00E84164"/>
    <w:rsid w:val="00E879A9"/>
    <w:rsid w:val="00E90EB2"/>
    <w:rsid w:val="00E9322B"/>
    <w:rsid w:val="00EA5986"/>
    <w:rsid w:val="00EA77D7"/>
    <w:rsid w:val="00EB0A81"/>
    <w:rsid w:val="00EB1B6E"/>
    <w:rsid w:val="00EB656D"/>
    <w:rsid w:val="00EC610C"/>
    <w:rsid w:val="00ED6BD7"/>
    <w:rsid w:val="00ED7BE4"/>
    <w:rsid w:val="00EE0401"/>
    <w:rsid w:val="00EE1B68"/>
    <w:rsid w:val="00EE1EA0"/>
    <w:rsid w:val="00EE2228"/>
    <w:rsid w:val="00EE4F68"/>
    <w:rsid w:val="00EE6B20"/>
    <w:rsid w:val="00EF1FFE"/>
    <w:rsid w:val="00EF2D94"/>
    <w:rsid w:val="00EF3E9E"/>
    <w:rsid w:val="00EF50E8"/>
    <w:rsid w:val="00F0459D"/>
    <w:rsid w:val="00F12961"/>
    <w:rsid w:val="00F13294"/>
    <w:rsid w:val="00F1570C"/>
    <w:rsid w:val="00F17632"/>
    <w:rsid w:val="00F20F8E"/>
    <w:rsid w:val="00F21CE1"/>
    <w:rsid w:val="00F22046"/>
    <w:rsid w:val="00F22736"/>
    <w:rsid w:val="00F24EE9"/>
    <w:rsid w:val="00F317FB"/>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9DA"/>
    <w:rsid w:val="00F7212E"/>
    <w:rsid w:val="00F72FAD"/>
    <w:rsid w:val="00F81E6A"/>
    <w:rsid w:val="00F82169"/>
    <w:rsid w:val="00F82474"/>
    <w:rsid w:val="00F86DB1"/>
    <w:rsid w:val="00F919A4"/>
    <w:rsid w:val="00F96AE7"/>
    <w:rsid w:val="00FA0EA8"/>
    <w:rsid w:val="00FB0475"/>
    <w:rsid w:val="00FB3D43"/>
    <w:rsid w:val="00FB735F"/>
    <w:rsid w:val="00FC1FDA"/>
    <w:rsid w:val="00FC3DCD"/>
    <w:rsid w:val="00FD0908"/>
    <w:rsid w:val="00FD334C"/>
    <w:rsid w:val="00FE1C83"/>
    <w:rsid w:val="00FE6CF3"/>
    <w:rsid w:val="00FE73B4"/>
    <w:rsid w:val="00FF0DC0"/>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Normal (Web)"/>
    <w:basedOn w:val="a"/>
    <w:rsid w:val="00254FCA"/>
    <w:pPr>
      <w:spacing w:before="100" w:beforeAutospacing="1" w:after="100" w:afterAutospacing="1"/>
      <w:jc w:val="both"/>
    </w:pPr>
  </w:style>
  <w:style w:type="character" w:customStyle="1" w:styleId="1">
    <w:name w:val="Основной текст Знак1"/>
    <w:basedOn w:val="a0"/>
    <w:link w:val="10"/>
    <w:uiPriority w:val="99"/>
    <w:locked/>
    <w:rsid w:val="006C4A65"/>
    <w:rPr>
      <w:sz w:val="23"/>
      <w:szCs w:val="23"/>
      <w:shd w:val="clear" w:color="auto" w:fill="FFFFFF"/>
    </w:rPr>
  </w:style>
  <w:style w:type="paragraph" w:customStyle="1" w:styleId="10">
    <w:name w:val="Колонтитул1"/>
    <w:basedOn w:val="a"/>
    <w:link w:val="1"/>
    <w:uiPriority w:val="99"/>
    <w:rsid w:val="006C4A65"/>
    <w:pPr>
      <w:widowControl w:val="0"/>
      <w:shd w:val="clear" w:color="auto" w:fill="FFFFFF"/>
      <w:spacing w:line="240" w:lineRule="atLeast"/>
    </w:pPr>
    <w:rPr>
      <w:sz w:val="23"/>
      <w:szCs w:val="23"/>
    </w:rPr>
  </w:style>
  <w:style w:type="character" w:customStyle="1" w:styleId="ad">
    <w:name w:val="Текст Знак"/>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6C4A6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30825-1DE5-4992-82BB-0248484C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2336</Words>
  <Characters>13318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Денис А. Абрамович</cp:lastModifiedBy>
  <cp:revision>10</cp:revision>
  <cp:lastPrinted>2016-04-01T12:35:00Z</cp:lastPrinted>
  <dcterms:created xsi:type="dcterms:W3CDTF">2016-04-01T12:17:00Z</dcterms:created>
  <dcterms:modified xsi:type="dcterms:W3CDTF">2016-04-06T10:35:00Z</dcterms:modified>
</cp:coreProperties>
</file>