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954" w:rsidRPr="002B63AA" w:rsidRDefault="002F3954" w:rsidP="007D5CAC">
      <w:pPr>
        <w:spacing w:after="0"/>
        <w:ind w:firstLine="567"/>
        <w:jc w:val="both"/>
        <w:rPr>
          <w:rFonts w:ascii="Times New Roman" w:hAnsi="Times New Roman"/>
          <w:b/>
          <w:i/>
          <w:sz w:val="24"/>
          <w:szCs w:val="24"/>
        </w:rPr>
      </w:pPr>
    </w:p>
    <w:p w:rsidR="002F3954" w:rsidRPr="002B63AA" w:rsidRDefault="002F3954" w:rsidP="00602CF1">
      <w:pPr>
        <w:spacing w:after="0"/>
        <w:ind w:firstLine="567"/>
        <w:jc w:val="right"/>
        <w:rPr>
          <w:rFonts w:ascii="Times New Roman" w:hAnsi="Times New Roman"/>
          <w:b/>
          <w:sz w:val="24"/>
          <w:szCs w:val="24"/>
        </w:rPr>
      </w:pPr>
      <w:r w:rsidRPr="002B63AA">
        <w:rPr>
          <w:rFonts w:ascii="Times New Roman" w:hAnsi="Times New Roman"/>
          <w:b/>
          <w:sz w:val="24"/>
          <w:szCs w:val="24"/>
        </w:rPr>
        <w:t>Заведующий кафедрой</w:t>
      </w:r>
    </w:p>
    <w:p w:rsidR="002F3954" w:rsidRPr="002B63AA" w:rsidRDefault="002F3954" w:rsidP="00602CF1">
      <w:pPr>
        <w:spacing w:after="0"/>
        <w:ind w:firstLine="567"/>
        <w:jc w:val="right"/>
        <w:rPr>
          <w:rFonts w:ascii="Times New Roman" w:hAnsi="Times New Roman"/>
          <w:b/>
          <w:sz w:val="24"/>
          <w:szCs w:val="24"/>
        </w:rPr>
      </w:pPr>
      <w:r w:rsidRPr="002B63AA">
        <w:rPr>
          <w:rFonts w:ascii="Times New Roman" w:hAnsi="Times New Roman"/>
          <w:b/>
          <w:sz w:val="24"/>
          <w:szCs w:val="24"/>
        </w:rPr>
        <w:t xml:space="preserve"> гражданского права и  гражданского процесса </w:t>
      </w:r>
    </w:p>
    <w:p w:rsidR="002F3954" w:rsidRPr="002B63AA" w:rsidRDefault="002F3954" w:rsidP="00602CF1">
      <w:pPr>
        <w:spacing w:after="0"/>
        <w:ind w:firstLine="567"/>
        <w:jc w:val="right"/>
        <w:rPr>
          <w:rFonts w:ascii="Times New Roman" w:hAnsi="Times New Roman"/>
          <w:b/>
          <w:sz w:val="24"/>
          <w:szCs w:val="24"/>
        </w:rPr>
      </w:pPr>
      <w:r w:rsidRPr="002B63AA">
        <w:rPr>
          <w:rFonts w:ascii="Times New Roman" w:hAnsi="Times New Roman"/>
          <w:b/>
          <w:sz w:val="24"/>
          <w:szCs w:val="24"/>
        </w:rPr>
        <w:t>юридического факультета ПГУ им. Шевченко</w:t>
      </w:r>
    </w:p>
    <w:p w:rsidR="002F3954" w:rsidRPr="002B63AA" w:rsidRDefault="002F3954" w:rsidP="00CD23A1">
      <w:pPr>
        <w:spacing w:after="0"/>
        <w:ind w:firstLine="567"/>
        <w:jc w:val="right"/>
        <w:rPr>
          <w:rFonts w:ascii="Times New Roman" w:hAnsi="Times New Roman"/>
          <w:b/>
          <w:sz w:val="24"/>
          <w:szCs w:val="24"/>
        </w:rPr>
      </w:pPr>
      <w:r w:rsidRPr="002B63AA">
        <w:rPr>
          <w:rFonts w:ascii="Times New Roman" w:hAnsi="Times New Roman"/>
          <w:b/>
          <w:sz w:val="24"/>
          <w:szCs w:val="24"/>
        </w:rPr>
        <w:t>к.ю.н.,  доцент, Федорчуков Я.Ф.,</w:t>
      </w:r>
    </w:p>
    <w:p w:rsidR="002F3954" w:rsidRPr="002B63AA" w:rsidRDefault="002F3954" w:rsidP="00602CF1">
      <w:pPr>
        <w:spacing w:after="0"/>
        <w:ind w:firstLine="567"/>
        <w:jc w:val="right"/>
        <w:rPr>
          <w:rFonts w:ascii="Times New Roman" w:hAnsi="Times New Roman"/>
          <w:b/>
          <w:sz w:val="24"/>
          <w:szCs w:val="24"/>
        </w:rPr>
      </w:pPr>
    </w:p>
    <w:p w:rsidR="002F3954" w:rsidRPr="002B63AA" w:rsidRDefault="002F3954" w:rsidP="00602CF1">
      <w:pPr>
        <w:spacing w:after="0"/>
        <w:ind w:firstLine="567"/>
        <w:jc w:val="right"/>
        <w:rPr>
          <w:rFonts w:ascii="Times New Roman" w:hAnsi="Times New Roman"/>
          <w:b/>
          <w:sz w:val="24"/>
          <w:szCs w:val="24"/>
        </w:rPr>
      </w:pPr>
    </w:p>
    <w:p w:rsidR="002F3954" w:rsidRPr="002B63AA" w:rsidRDefault="002F3954" w:rsidP="00602CF1">
      <w:pPr>
        <w:spacing w:after="0"/>
        <w:ind w:firstLine="567"/>
        <w:jc w:val="center"/>
        <w:rPr>
          <w:rFonts w:ascii="Times New Roman" w:hAnsi="Times New Roman"/>
          <w:b/>
          <w:i/>
          <w:sz w:val="24"/>
          <w:szCs w:val="24"/>
        </w:rPr>
      </w:pPr>
      <w:r w:rsidRPr="002B63AA">
        <w:rPr>
          <w:rFonts w:ascii="Times New Roman" w:hAnsi="Times New Roman"/>
          <w:b/>
          <w:sz w:val="24"/>
          <w:szCs w:val="24"/>
        </w:rPr>
        <w:t xml:space="preserve">Доклад: </w:t>
      </w:r>
    </w:p>
    <w:p w:rsidR="002F3954" w:rsidRPr="002B63AA" w:rsidRDefault="002F3954" w:rsidP="00D31C35">
      <w:pPr>
        <w:spacing w:after="0"/>
        <w:ind w:firstLine="567"/>
        <w:jc w:val="center"/>
        <w:rPr>
          <w:rFonts w:ascii="Times New Roman" w:hAnsi="Times New Roman"/>
          <w:b/>
          <w:sz w:val="24"/>
          <w:szCs w:val="24"/>
        </w:rPr>
      </w:pPr>
      <w:r w:rsidRPr="002B63AA">
        <w:rPr>
          <w:rFonts w:ascii="Times New Roman" w:hAnsi="Times New Roman"/>
          <w:b/>
          <w:sz w:val="24"/>
          <w:szCs w:val="24"/>
        </w:rPr>
        <w:t>«Владельческая защита: состояние и перспективы»</w:t>
      </w:r>
    </w:p>
    <w:p w:rsidR="002F3954" w:rsidRPr="002B63AA" w:rsidRDefault="002F3954" w:rsidP="007D5CAC">
      <w:pPr>
        <w:spacing w:after="0"/>
        <w:ind w:firstLine="567"/>
        <w:jc w:val="both"/>
        <w:rPr>
          <w:rFonts w:ascii="Times New Roman" w:hAnsi="Times New Roman"/>
          <w:sz w:val="24"/>
          <w:szCs w:val="24"/>
        </w:rPr>
      </w:pPr>
    </w:p>
    <w:p w:rsidR="002F3954" w:rsidRPr="002B63AA" w:rsidRDefault="002F3954" w:rsidP="007D5CAC">
      <w:pPr>
        <w:spacing w:after="0"/>
        <w:ind w:firstLine="567"/>
        <w:jc w:val="both"/>
        <w:rPr>
          <w:rFonts w:ascii="Times New Roman" w:hAnsi="Times New Roman"/>
          <w:sz w:val="24"/>
          <w:szCs w:val="24"/>
        </w:rPr>
      </w:pPr>
      <w:r w:rsidRPr="002B63AA">
        <w:rPr>
          <w:rFonts w:ascii="Times New Roman" w:hAnsi="Times New Roman"/>
          <w:sz w:val="24"/>
          <w:szCs w:val="24"/>
        </w:rPr>
        <w:t>Традиционно</w:t>
      </w:r>
      <w:bookmarkStart w:id="0" w:name="_GoBack"/>
      <w:bookmarkEnd w:id="0"/>
      <w:r w:rsidRPr="002B63AA">
        <w:rPr>
          <w:rFonts w:ascii="Times New Roman" w:hAnsi="Times New Roman"/>
          <w:sz w:val="24"/>
          <w:szCs w:val="24"/>
        </w:rPr>
        <w:t xml:space="preserve"> отечественное законодательство предусматривает способы защиты личных прав, которые основаны на защите права собственности, права владения и защите иных вещных прав. Вопрос о владельческой (посессорной) защите не поднимался в отечественном праве ни в советский период, ни в первой половине 90-х годов </w:t>
      </w:r>
      <w:r w:rsidRPr="002B63AA">
        <w:rPr>
          <w:rFonts w:ascii="Times New Roman" w:hAnsi="Times New Roman"/>
          <w:sz w:val="24"/>
          <w:szCs w:val="24"/>
          <w:lang w:val="en-US"/>
        </w:rPr>
        <w:t>XX</w:t>
      </w:r>
      <w:r w:rsidRPr="002B63AA">
        <w:rPr>
          <w:rFonts w:ascii="Times New Roman" w:hAnsi="Times New Roman"/>
          <w:sz w:val="24"/>
          <w:szCs w:val="24"/>
        </w:rPr>
        <w:t xml:space="preserve"> века в период подготовки проекта Гражданского кодекса России. Интерес научного сообщества в российской цивилистике к владельческой защите начал проявляться после публикации работ Д.В. Дождева и К.И. Скловского. Особый интерес к владельческой защите в исследованиях стал проявляться при разработке и принятии Концепции развития гражданского законодательства и Концепции развития законодательства о вещном праве, где предусматривалось введение правовых институтов владения и владельческой защиты в гражданском законодательстве Российской Федерации.</w:t>
      </w:r>
    </w:p>
    <w:p w:rsidR="002F3954" w:rsidRPr="002B63AA" w:rsidRDefault="002F3954" w:rsidP="007D5CAC">
      <w:pPr>
        <w:spacing w:after="0"/>
        <w:ind w:firstLine="567"/>
        <w:jc w:val="both"/>
        <w:rPr>
          <w:rFonts w:ascii="Times New Roman" w:hAnsi="Times New Roman"/>
          <w:sz w:val="24"/>
          <w:szCs w:val="24"/>
        </w:rPr>
      </w:pPr>
      <w:r w:rsidRPr="002B63AA">
        <w:rPr>
          <w:rFonts w:ascii="Times New Roman" w:hAnsi="Times New Roman"/>
          <w:sz w:val="24"/>
          <w:szCs w:val="24"/>
        </w:rPr>
        <w:t>В настоящее время закрепление в  отечественномзаконодательстве некоторых положений позволило рядуавторов утверждать, что действующие нормы уже содержат зачатки посессорной защиты. Одним из них  рассматривалась реституция. Сама реституция предполагает при признании сделки недействительной наличие права у стороны требовать применения последствий такой сделки в соответствии со ст. 167 ГК РФ и ст.183 ГК ПМР (Общие положения о последствиях недействительности сделки).</w:t>
      </w:r>
    </w:p>
    <w:p w:rsidR="002F3954" w:rsidRPr="002B63AA" w:rsidRDefault="002F3954" w:rsidP="007D5CAC">
      <w:pPr>
        <w:spacing w:after="0"/>
        <w:ind w:firstLine="567"/>
        <w:jc w:val="both"/>
        <w:rPr>
          <w:rFonts w:ascii="Times New Roman" w:hAnsi="Times New Roman"/>
          <w:sz w:val="24"/>
          <w:szCs w:val="24"/>
        </w:rPr>
      </w:pPr>
      <w:r w:rsidRPr="002B63AA">
        <w:rPr>
          <w:rFonts w:ascii="Times New Roman" w:hAnsi="Times New Roman"/>
          <w:sz w:val="24"/>
          <w:szCs w:val="24"/>
        </w:rPr>
        <w:t>Исходя из смысла указанных статей, сторона не только не должна доказывать свое право на переданное имущество, но при этом еще не факт, что она вообще такое право может иметь. Отсюда следует, что нормой предусмотрен механизм возврата вещей во владение.  Некоторые авторы стали утверждать, что реституция в таких случаях приобретает форму владельческой защиты. И все же эти способы защиты необходимо рассматривать как самостоятельные. Предметом реституционного иска выступает требование о применении последствий недействительности сделки в виде возврата всего полученного по сделке. А предметом посессорной защиты – возврат утраченной вещи.</w:t>
      </w:r>
    </w:p>
    <w:p w:rsidR="002F3954" w:rsidRPr="002B63AA" w:rsidRDefault="002F3954" w:rsidP="007D5CAC">
      <w:pPr>
        <w:spacing w:after="0"/>
        <w:ind w:firstLine="567"/>
        <w:jc w:val="both"/>
        <w:rPr>
          <w:rFonts w:ascii="Times New Roman" w:hAnsi="Times New Roman"/>
          <w:sz w:val="24"/>
          <w:szCs w:val="24"/>
        </w:rPr>
      </w:pPr>
      <w:r w:rsidRPr="002B63AA">
        <w:rPr>
          <w:rFonts w:ascii="Times New Roman" w:hAnsi="Times New Roman"/>
          <w:sz w:val="24"/>
          <w:szCs w:val="24"/>
        </w:rPr>
        <w:t>Кроме того, посессорная защита применяется без относительно к существованию сделки вообще. Важнейшим основанием применения последствий недействительности сделки являются нарушения требований закона при совершении сделки, а основанием владельческой защиты – действия третьих лиц, лишивших владельца фактического владения, помимо его воли.</w:t>
      </w:r>
    </w:p>
    <w:p w:rsidR="002F3954" w:rsidRPr="002B63AA" w:rsidRDefault="002F3954" w:rsidP="009C1AA0">
      <w:pPr>
        <w:spacing w:after="0"/>
        <w:ind w:firstLine="567"/>
        <w:jc w:val="both"/>
        <w:rPr>
          <w:rFonts w:ascii="Times New Roman" w:hAnsi="Times New Roman"/>
          <w:sz w:val="24"/>
          <w:szCs w:val="24"/>
        </w:rPr>
      </w:pPr>
      <w:r w:rsidRPr="002B63AA">
        <w:rPr>
          <w:rFonts w:ascii="Times New Roman" w:hAnsi="Times New Roman"/>
          <w:sz w:val="24"/>
          <w:szCs w:val="24"/>
        </w:rPr>
        <w:t xml:space="preserve">Различен и субъектный состав. Лицом, требующим применения реституции,является лицо, участвующее в сделке. А владельческая защита свойственна фактическому владельцу предъявляющего требование к лицу, нарушившему спокойствие владельца по владению. </w:t>
      </w:r>
    </w:p>
    <w:p w:rsidR="002F3954" w:rsidRPr="002B63AA" w:rsidRDefault="002F3954" w:rsidP="007D5CAC">
      <w:pPr>
        <w:spacing w:after="0"/>
        <w:ind w:firstLine="567"/>
        <w:jc w:val="both"/>
        <w:rPr>
          <w:rFonts w:ascii="Times New Roman" w:hAnsi="Times New Roman"/>
          <w:sz w:val="24"/>
          <w:szCs w:val="24"/>
        </w:rPr>
      </w:pPr>
      <w:r w:rsidRPr="002B63AA">
        <w:rPr>
          <w:rFonts w:ascii="Times New Roman" w:hAnsi="Times New Roman"/>
          <w:sz w:val="24"/>
          <w:szCs w:val="24"/>
        </w:rPr>
        <w:t>Данные особенности принципиально отличают реституцию и владельческую защиту как способы защиты прав.</w:t>
      </w:r>
    </w:p>
    <w:p w:rsidR="002F3954" w:rsidRPr="002B63AA" w:rsidRDefault="002F3954" w:rsidP="007D5CAC">
      <w:pPr>
        <w:spacing w:after="0"/>
        <w:ind w:firstLine="567"/>
        <w:jc w:val="both"/>
        <w:rPr>
          <w:rFonts w:ascii="Times New Roman" w:hAnsi="Times New Roman"/>
          <w:sz w:val="24"/>
          <w:szCs w:val="24"/>
        </w:rPr>
      </w:pPr>
      <w:r w:rsidRPr="002B63AA">
        <w:rPr>
          <w:rFonts w:ascii="Times New Roman" w:hAnsi="Times New Roman"/>
          <w:sz w:val="24"/>
          <w:szCs w:val="24"/>
        </w:rPr>
        <w:t xml:space="preserve">Второй формой посессорной защиты в гражданском праве, по мнению многих авторов, является положение ст. 234 ГК РФ и ст. 251 ГК ПМР о защите беститульного давностного добровольного владения от действий третьих лиц. </w:t>
      </w:r>
    </w:p>
    <w:p w:rsidR="002F3954" w:rsidRPr="002B63AA" w:rsidRDefault="002F3954" w:rsidP="007D5CAC">
      <w:pPr>
        <w:spacing w:after="0"/>
        <w:ind w:firstLine="567"/>
        <w:jc w:val="both"/>
        <w:rPr>
          <w:rFonts w:ascii="Times New Roman" w:hAnsi="Times New Roman"/>
          <w:color w:val="FF0000"/>
          <w:sz w:val="24"/>
          <w:szCs w:val="24"/>
        </w:rPr>
      </w:pPr>
      <w:r w:rsidRPr="002B63AA">
        <w:rPr>
          <w:rFonts w:ascii="Times New Roman" w:hAnsi="Times New Roman"/>
          <w:sz w:val="24"/>
          <w:szCs w:val="24"/>
        </w:rPr>
        <w:t>Справедливости ради необходимо отметить, что по этому пути пошла и судебная практика. Подтверждением тому является целый ряд судебных актов, которые вынесены различными судами</w:t>
      </w:r>
      <w:r w:rsidRPr="002B63AA">
        <w:rPr>
          <w:rStyle w:val="FootnoteReference"/>
          <w:rFonts w:ascii="Times New Roman" w:hAnsi="Times New Roman"/>
          <w:sz w:val="24"/>
          <w:szCs w:val="24"/>
        </w:rPr>
        <w:footnoteReference w:id="2"/>
      </w:r>
      <w:r w:rsidRPr="002B63AA">
        <w:rPr>
          <w:rFonts w:ascii="Times New Roman" w:hAnsi="Times New Roman"/>
          <w:sz w:val="24"/>
          <w:szCs w:val="24"/>
        </w:rPr>
        <w:t xml:space="preserve">.  </w:t>
      </w:r>
    </w:p>
    <w:p w:rsidR="002F3954" w:rsidRPr="002B63AA" w:rsidRDefault="002F3954" w:rsidP="007D5CAC">
      <w:pPr>
        <w:spacing w:after="0"/>
        <w:ind w:firstLine="567"/>
        <w:jc w:val="both"/>
        <w:rPr>
          <w:rFonts w:ascii="Times New Roman" w:hAnsi="Times New Roman"/>
          <w:sz w:val="24"/>
          <w:szCs w:val="24"/>
        </w:rPr>
      </w:pPr>
      <w:r w:rsidRPr="002B63AA">
        <w:rPr>
          <w:rFonts w:ascii="Times New Roman" w:hAnsi="Times New Roman"/>
          <w:sz w:val="24"/>
          <w:szCs w:val="24"/>
        </w:rPr>
        <w:t>В них недвусмысленно указывается на то, что п.2 ст. 234 ГК РФ, а в ПМР это п.2 ст. 251 ГК ПМР закрепляет посессорную защиту фактического владения. Однако целый ряд цивилистов, в том числе В.А. Белов, Д.А. Мальбин, указывают на принципиальные отличия давностной и посессорной защиты. Так интересы давностного владельца, по мнению этих авторов, защищены, если это владение является открытым  и добросовестным. Кроме того они отмечают то, что данная защита не всегда может быть применена в отношении собственника и вообще не может быть применена в отношении третьих лиц.</w:t>
      </w:r>
    </w:p>
    <w:p w:rsidR="002F3954" w:rsidRPr="002B63AA" w:rsidRDefault="002F3954" w:rsidP="00E97713">
      <w:pPr>
        <w:spacing w:after="0"/>
        <w:ind w:firstLine="567"/>
        <w:jc w:val="both"/>
        <w:rPr>
          <w:rFonts w:ascii="Times New Roman" w:hAnsi="Times New Roman"/>
          <w:sz w:val="24"/>
          <w:szCs w:val="24"/>
        </w:rPr>
      </w:pPr>
      <w:r w:rsidRPr="002B63AA">
        <w:rPr>
          <w:rFonts w:ascii="Times New Roman" w:hAnsi="Times New Roman"/>
          <w:sz w:val="24"/>
          <w:szCs w:val="24"/>
        </w:rPr>
        <w:t>Эти положения подтверждены Постановлением Пленума Верховного Суда РФ №10,  Пленума Высшего Арбитражного Суда РФ №22 от 29.04.2010 «О некоторых вопросах, возникающих в судебной практике при разрешении споров, связанных с защитой права собственности и других вещных прав» (п.15), в которомдаются необходимые разъяснения по поводу квалифицирующих признаков, предусмотренных ст. 234 ГК РФ (ст. 251 ГК ПМР):</w:t>
      </w:r>
    </w:p>
    <w:p w:rsidR="002F3954" w:rsidRPr="002B63AA" w:rsidRDefault="002F3954" w:rsidP="00E97713">
      <w:pPr>
        <w:pStyle w:val="ListParagraph"/>
        <w:numPr>
          <w:ilvl w:val="0"/>
          <w:numId w:val="1"/>
        </w:numPr>
        <w:spacing w:after="0"/>
        <w:ind w:left="0" w:firstLine="567"/>
        <w:jc w:val="both"/>
        <w:rPr>
          <w:rFonts w:ascii="Times New Roman" w:hAnsi="Times New Roman"/>
          <w:sz w:val="24"/>
          <w:szCs w:val="24"/>
        </w:rPr>
      </w:pPr>
      <w:r w:rsidRPr="002B63AA">
        <w:rPr>
          <w:rFonts w:ascii="Times New Roman" w:hAnsi="Times New Roman"/>
          <w:sz w:val="24"/>
          <w:szCs w:val="24"/>
        </w:rPr>
        <w:t>Давностное владение является добросовестным, если лицо,получая владение, не знало или не должно было знать об отсутствии основаниявозникновения у него права собственности.</w:t>
      </w:r>
    </w:p>
    <w:p w:rsidR="002F3954" w:rsidRPr="002B63AA" w:rsidRDefault="002F3954" w:rsidP="00E97713">
      <w:pPr>
        <w:pStyle w:val="ListParagraph"/>
        <w:numPr>
          <w:ilvl w:val="0"/>
          <w:numId w:val="1"/>
        </w:numPr>
        <w:spacing w:after="0"/>
        <w:ind w:left="0" w:firstLine="567"/>
        <w:jc w:val="both"/>
        <w:rPr>
          <w:rFonts w:ascii="Times New Roman" w:hAnsi="Times New Roman"/>
          <w:sz w:val="24"/>
          <w:szCs w:val="24"/>
        </w:rPr>
      </w:pPr>
      <w:r w:rsidRPr="002B63AA">
        <w:rPr>
          <w:rFonts w:ascii="Times New Roman" w:hAnsi="Times New Roman"/>
          <w:sz w:val="24"/>
          <w:szCs w:val="24"/>
        </w:rPr>
        <w:t>Давностное владение признается открытым, если лицо не скрывает факта нахождения имущества в его владении.</w:t>
      </w:r>
    </w:p>
    <w:p w:rsidR="002F3954" w:rsidRPr="002B63AA" w:rsidRDefault="002F3954" w:rsidP="00E97713">
      <w:pPr>
        <w:pStyle w:val="ListParagraph"/>
        <w:numPr>
          <w:ilvl w:val="0"/>
          <w:numId w:val="1"/>
        </w:numPr>
        <w:spacing w:after="0"/>
        <w:ind w:left="0" w:firstLine="567"/>
        <w:jc w:val="both"/>
        <w:rPr>
          <w:rFonts w:ascii="Times New Roman" w:hAnsi="Times New Roman"/>
          <w:sz w:val="24"/>
          <w:szCs w:val="24"/>
        </w:rPr>
      </w:pPr>
      <w:r w:rsidRPr="002B63AA">
        <w:rPr>
          <w:rFonts w:ascii="Times New Roman" w:hAnsi="Times New Roman"/>
          <w:sz w:val="24"/>
          <w:szCs w:val="24"/>
        </w:rPr>
        <w:t>Давностное владение признается непрерывным, если оно не прекращалось в течение всего срока приобретательской давности.</w:t>
      </w:r>
    </w:p>
    <w:p w:rsidR="002F3954" w:rsidRPr="002B63AA" w:rsidRDefault="002F3954" w:rsidP="00E97713">
      <w:pPr>
        <w:pStyle w:val="ListParagraph"/>
        <w:numPr>
          <w:ilvl w:val="0"/>
          <w:numId w:val="1"/>
        </w:numPr>
        <w:spacing w:after="0"/>
        <w:ind w:left="0" w:firstLine="567"/>
        <w:jc w:val="both"/>
        <w:rPr>
          <w:rFonts w:ascii="Times New Roman" w:hAnsi="Times New Roman"/>
          <w:sz w:val="24"/>
          <w:szCs w:val="24"/>
        </w:rPr>
      </w:pPr>
      <w:r w:rsidRPr="002B63AA">
        <w:rPr>
          <w:rFonts w:ascii="Times New Roman" w:hAnsi="Times New Roman"/>
          <w:sz w:val="24"/>
          <w:szCs w:val="24"/>
        </w:rPr>
        <w:t>Владение имуществом как своим собственным означает владение не по договору.</w:t>
      </w:r>
      <w:r w:rsidRPr="002B63AA">
        <w:rPr>
          <w:rStyle w:val="FootnoteReference"/>
          <w:rFonts w:ascii="Times New Roman" w:hAnsi="Times New Roman"/>
          <w:sz w:val="24"/>
          <w:szCs w:val="24"/>
        </w:rPr>
        <w:footnoteReference w:id="3"/>
      </w:r>
    </w:p>
    <w:p w:rsidR="002F3954" w:rsidRPr="002B63AA" w:rsidRDefault="002F3954" w:rsidP="007D5CAC">
      <w:pPr>
        <w:spacing w:after="0"/>
        <w:ind w:firstLine="567"/>
        <w:jc w:val="both"/>
        <w:rPr>
          <w:rFonts w:ascii="Times New Roman" w:hAnsi="Times New Roman"/>
          <w:sz w:val="24"/>
          <w:szCs w:val="24"/>
        </w:rPr>
      </w:pPr>
      <w:r w:rsidRPr="002B63AA">
        <w:rPr>
          <w:rFonts w:ascii="Times New Roman" w:hAnsi="Times New Roman"/>
          <w:sz w:val="24"/>
          <w:szCs w:val="24"/>
        </w:rPr>
        <w:t>Вышеизложенное ставит под сомнение утверждение некоторых авторов об установлении в п.2 ст. 234 ГК РФ и п.2 ст. 251ГК ПМР зачатков посессорной защиты в отечественном праве.</w:t>
      </w:r>
    </w:p>
    <w:p w:rsidR="002F3954" w:rsidRPr="002B63AA" w:rsidRDefault="002F3954" w:rsidP="007D5CAC">
      <w:pPr>
        <w:spacing w:after="0"/>
        <w:ind w:firstLine="567"/>
        <w:jc w:val="both"/>
        <w:rPr>
          <w:rFonts w:ascii="Times New Roman" w:hAnsi="Times New Roman"/>
          <w:sz w:val="24"/>
          <w:szCs w:val="24"/>
        </w:rPr>
      </w:pPr>
      <w:r w:rsidRPr="002B63AA">
        <w:rPr>
          <w:rFonts w:ascii="Times New Roman" w:hAnsi="Times New Roman"/>
          <w:sz w:val="24"/>
          <w:szCs w:val="24"/>
        </w:rPr>
        <w:t xml:space="preserve">Но вполне можно согласиться с утверждениями о неразвитости и некой усеченности владельческой защиты в отечественной правовой системе. Необходимость введения владельческой защиты, которая давно обсуждается в научных кругах России, нашедшая отражение в Концепции развития гражданского законодательства, получила закрепление в проекте Федерального Закона №47538-6 «О внесении изменений в части первую, вторую, третью и четвертую Гражданского кодекса Российской Федерации», а также в отдельных законодательных актах РФ. Во многом данный Проект воспринял все принципиальные положения Концепции. Анализ текста ПроектаФедерального Закона показывает, что устанавливается владение законное и незаконное (ст. 213 Проекта ГК РФ), добросовестное и недобросовестное (ст. 214 Проекта ГК РФ). Причем прослеживается четкая линия на отграничение понятия добросовестного от законного, указывая на то, что владение может признаваться добросовестным только при отсутствии правового титула на вещь. Представляется важным закрепление в ст.ст. 213 и 214 Проекта ГК РФ положений, в соответствии с которыми владение признается законным, если иное не установлено законом, а также добросовестным, если суд не установил иное. По мнению большинства ученых первичной применению должна быть презумпция законности владения. В противном случае ответчик (или иное лицо, участвующее в деле) не сможет доказать недобросовестность владения истца, не доказав при этом отсутствие правового титула. </w:t>
      </w:r>
    </w:p>
    <w:p w:rsidR="002F3954" w:rsidRPr="002B63AA" w:rsidRDefault="002F3954" w:rsidP="007D5CAC">
      <w:pPr>
        <w:spacing w:after="0"/>
        <w:ind w:firstLine="567"/>
        <w:jc w:val="both"/>
        <w:rPr>
          <w:rFonts w:ascii="Times New Roman" w:hAnsi="Times New Roman"/>
          <w:sz w:val="24"/>
          <w:szCs w:val="24"/>
        </w:rPr>
      </w:pPr>
      <w:r w:rsidRPr="002B63AA">
        <w:rPr>
          <w:rFonts w:ascii="Times New Roman" w:hAnsi="Times New Roman"/>
          <w:sz w:val="24"/>
          <w:szCs w:val="24"/>
        </w:rPr>
        <w:t xml:space="preserve"> Проектом ГК РФ (п.2 ст. 215) предусмотрено правило на защиту любого владельца как законного, так и не законного. Таким образом, норма построена так, что защита может быть представлена даже не- добросовестному владельцу от самоуправства и нарушения владения со стороны третьих лиц. Отсюда – лицо вправе защищать свое утраченное владение независимо от наличия или отсутствия титула владения на эту вещь. И все же, исходя из смысла главы 14 Проекта, происходит закрепление презумпции законности владения с правилом о невозможности ссылаться на наличие титула на вещь во владельческом процессе.</w:t>
      </w:r>
    </w:p>
    <w:p w:rsidR="002F3954" w:rsidRPr="002B63AA" w:rsidRDefault="002F3954" w:rsidP="007D5CAC">
      <w:pPr>
        <w:spacing w:after="0"/>
        <w:ind w:firstLine="567"/>
        <w:jc w:val="both"/>
        <w:rPr>
          <w:rFonts w:ascii="Times New Roman" w:hAnsi="Times New Roman"/>
          <w:sz w:val="24"/>
          <w:szCs w:val="24"/>
        </w:rPr>
      </w:pPr>
      <w:r w:rsidRPr="002B63AA">
        <w:rPr>
          <w:rFonts w:ascii="Times New Roman" w:hAnsi="Times New Roman"/>
          <w:sz w:val="24"/>
          <w:szCs w:val="24"/>
        </w:rPr>
        <w:t>Детальный анализ Проекта ФЗ позволяет сделать вывод о том, что переход от обычного способа защиты вещных прав к владельческой защите указывает на невозможность реализации последней в чистом виде. Это объясняется необходимостью ответчику доказать наличие собственного титула на вещь, и наоборот – на отсутствие права на вещь у истца, а также на его недобросовестность, что сделать практически невозможно.</w:t>
      </w:r>
    </w:p>
    <w:p w:rsidR="002F3954" w:rsidRPr="002B63AA" w:rsidRDefault="002F3954" w:rsidP="007D5CAC">
      <w:pPr>
        <w:spacing w:after="0"/>
        <w:ind w:firstLine="567"/>
        <w:jc w:val="both"/>
        <w:rPr>
          <w:rFonts w:ascii="Times New Roman" w:hAnsi="Times New Roman"/>
          <w:sz w:val="24"/>
          <w:szCs w:val="24"/>
        </w:rPr>
      </w:pPr>
      <w:r w:rsidRPr="002B63AA">
        <w:rPr>
          <w:rFonts w:ascii="Times New Roman" w:hAnsi="Times New Roman"/>
          <w:sz w:val="24"/>
          <w:szCs w:val="24"/>
        </w:rPr>
        <w:t>Тем не менее следует отметить, что Проект ГК РФ расширил основания применения защиты владения от самоуправных действий нарушителя владения. Это нововведение следует поприветствовать.</w:t>
      </w:r>
    </w:p>
    <w:p w:rsidR="002F3954" w:rsidRPr="002B63AA" w:rsidRDefault="002F3954" w:rsidP="007D5CAC">
      <w:pPr>
        <w:spacing w:after="0"/>
        <w:ind w:firstLine="567"/>
        <w:jc w:val="both"/>
        <w:rPr>
          <w:rFonts w:ascii="Times New Roman" w:hAnsi="Times New Roman"/>
          <w:sz w:val="24"/>
          <w:szCs w:val="24"/>
        </w:rPr>
      </w:pPr>
      <w:r w:rsidRPr="002B63AA">
        <w:rPr>
          <w:rFonts w:ascii="Times New Roman" w:hAnsi="Times New Roman"/>
          <w:sz w:val="24"/>
          <w:szCs w:val="24"/>
        </w:rPr>
        <w:t xml:space="preserve">Несмотря на целостность предложенных изменений, законодатель не стал  целиком вводить данный Законопроект  в силу. Изменения, внесенные  в ГК РФ, пока не коснулись владельческой защиты. Видимо законодатель учел целый ряд возражений представителей  научного сообщества. А предложенные формы владельческой защиты после устранения недочетов и противоречий найдут свое достойное место в отечественном гражданском праве. </w:t>
      </w:r>
    </w:p>
    <w:p w:rsidR="002F3954" w:rsidRPr="002B63AA" w:rsidRDefault="002F3954" w:rsidP="00602CF1">
      <w:pPr>
        <w:spacing w:after="0"/>
        <w:ind w:firstLine="567"/>
        <w:jc w:val="both"/>
        <w:rPr>
          <w:rFonts w:ascii="Times New Roman" w:hAnsi="Times New Roman"/>
          <w:sz w:val="24"/>
          <w:szCs w:val="24"/>
        </w:rPr>
      </w:pPr>
      <w:r w:rsidRPr="002B63AA">
        <w:rPr>
          <w:rFonts w:ascii="Times New Roman" w:hAnsi="Times New Roman"/>
          <w:sz w:val="24"/>
          <w:szCs w:val="24"/>
        </w:rPr>
        <w:t xml:space="preserve">Проводимые в Российской Федерации реформы гражданского законодательства становятся актуальными и для Приднестровской Молдавской Республики. Своевременные изменения законодательства ПМР в рамках гармонизации с законодательством РФ могут создать механизм правового обеспечения единого с Россией экономического пространства. Комплексная защита вещных прав должна сыграть в этом ведущую роль. </w:t>
      </w:r>
    </w:p>
    <w:sectPr w:rsidR="002F3954" w:rsidRPr="002B63AA" w:rsidSect="00BE06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954" w:rsidRDefault="002F3954" w:rsidP="00287F71">
      <w:pPr>
        <w:spacing w:after="0" w:line="240" w:lineRule="auto"/>
      </w:pPr>
      <w:r>
        <w:separator/>
      </w:r>
    </w:p>
  </w:endnote>
  <w:endnote w:type="continuationSeparator" w:id="1">
    <w:p w:rsidR="002F3954" w:rsidRDefault="002F3954" w:rsidP="00287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954" w:rsidRDefault="002F3954" w:rsidP="00287F71">
      <w:pPr>
        <w:spacing w:after="0" w:line="240" w:lineRule="auto"/>
      </w:pPr>
      <w:r>
        <w:separator/>
      </w:r>
    </w:p>
  </w:footnote>
  <w:footnote w:type="continuationSeparator" w:id="1">
    <w:p w:rsidR="002F3954" w:rsidRDefault="002F3954" w:rsidP="00287F71">
      <w:pPr>
        <w:spacing w:after="0" w:line="240" w:lineRule="auto"/>
      </w:pPr>
      <w:r>
        <w:continuationSeparator/>
      </w:r>
    </w:p>
  </w:footnote>
  <w:footnote w:id="2">
    <w:p w:rsidR="002F3954" w:rsidRDefault="002F3954" w:rsidP="00604948">
      <w:pPr>
        <w:pStyle w:val="FootnoteText"/>
        <w:jc w:val="both"/>
      </w:pPr>
      <w:r w:rsidRPr="00604948">
        <w:rPr>
          <w:rStyle w:val="FootnoteReference"/>
          <w:rFonts w:ascii="Times New Roman" w:hAnsi="Times New Roman"/>
        </w:rPr>
        <w:footnoteRef/>
      </w:r>
      <w:r w:rsidRPr="00604948">
        <w:rPr>
          <w:rFonts w:ascii="Times New Roman" w:hAnsi="Times New Roman"/>
        </w:rPr>
        <w:t>См.: Определение Высшего Арбитражного Суда РФ от 26.03.2012 № ВАС-3001/12 по делу № А29-7983/2010; Постановление Федерального арбитражного суда Восточно-Сибирского округа от 25.02.2014 поделу № А58-1536/2013; Постановление Федерального арбитражного суда Волго-Вятского округа от18.06.2010 по делу № А43-16537/2009; Постановление Федерального арбитражного суда Волго-Вятскогоокруга от 18.06.2010 по делу № А43-16108/2009; Постановление Федерального арбитражного суда Волго</w:t>
      </w:r>
      <w:r>
        <w:rPr>
          <w:rFonts w:ascii="Times New Roman" w:hAnsi="Times New Roman"/>
        </w:rPr>
        <w:t>-</w:t>
      </w:r>
      <w:r w:rsidRPr="00604948">
        <w:rPr>
          <w:rFonts w:ascii="Times New Roman" w:hAnsi="Times New Roman"/>
        </w:rPr>
        <w:t>Вятского округа от 07.06.2010 по делу № А43-16106/2009; Постановление Федерального арбитражного судаВолго-Вятского округа от 02.06.2010 по делу № А43-16544/2009; Постановление Федеральногоарбитражного суда Волго-Вятского округа от 02.06.2010 по делу № А43-16538/2009; Постановление Первого арбитражного апелляционного суда от 12.04.2010 по делу № А43-19633/2009; ПостановлениеОдиннадцатого арбитражного апелляционного суда от 13.03.2013 по делу № А72-5629/2012 и др.</w:t>
      </w:r>
    </w:p>
  </w:footnote>
  <w:footnote w:id="3">
    <w:p w:rsidR="002F3954" w:rsidRDefault="002F3954" w:rsidP="00604948">
      <w:pPr>
        <w:pStyle w:val="FootnoteText"/>
        <w:jc w:val="both"/>
      </w:pPr>
      <w:r w:rsidRPr="00604948">
        <w:rPr>
          <w:rStyle w:val="FootnoteReference"/>
          <w:rFonts w:ascii="Times New Roman" w:hAnsi="Times New Roman"/>
        </w:rPr>
        <w:footnoteRef/>
      </w:r>
      <w:r w:rsidRPr="00604948">
        <w:rPr>
          <w:rFonts w:ascii="Times New Roman" w:hAnsi="Times New Roman"/>
        </w:rPr>
        <w:t xml:space="preserve"> Постановление Пленума Верховного Суда №10, Пленума Высшего Арбитражного Суда РФ № 22 от 29.04.2010 «О некоторых вопросах, возникающих в судебной практике при разрешении споров, связанных с защитой права собственности и других вещных прав»// Вестник Высшего Арбитражного Суда РФ, 2010, №6. С.86.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26F9"/>
    <w:multiLevelType w:val="hybridMultilevel"/>
    <w:tmpl w:val="DB5E327C"/>
    <w:lvl w:ilvl="0" w:tplc="5746A378">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F595592"/>
    <w:multiLevelType w:val="hybridMultilevel"/>
    <w:tmpl w:val="E214DAF8"/>
    <w:lvl w:ilvl="0" w:tplc="B322C3AA">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666E"/>
    <w:rsid w:val="00007B5D"/>
    <w:rsid w:val="000A6D1E"/>
    <w:rsid w:val="000C1501"/>
    <w:rsid w:val="0018377A"/>
    <w:rsid w:val="001A2B28"/>
    <w:rsid w:val="001B6499"/>
    <w:rsid w:val="00287F71"/>
    <w:rsid w:val="00293610"/>
    <w:rsid w:val="002B63AA"/>
    <w:rsid w:val="002C77A7"/>
    <w:rsid w:val="002F3954"/>
    <w:rsid w:val="0032101D"/>
    <w:rsid w:val="00372B63"/>
    <w:rsid w:val="003963E0"/>
    <w:rsid w:val="0039666E"/>
    <w:rsid w:val="0040422A"/>
    <w:rsid w:val="00486F85"/>
    <w:rsid w:val="004D536F"/>
    <w:rsid w:val="00502685"/>
    <w:rsid w:val="00560DCA"/>
    <w:rsid w:val="005927D9"/>
    <w:rsid w:val="00602CF1"/>
    <w:rsid w:val="00604948"/>
    <w:rsid w:val="006356C8"/>
    <w:rsid w:val="007331AF"/>
    <w:rsid w:val="007D5CAC"/>
    <w:rsid w:val="007E3755"/>
    <w:rsid w:val="00811657"/>
    <w:rsid w:val="00825A47"/>
    <w:rsid w:val="00860014"/>
    <w:rsid w:val="00887B62"/>
    <w:rsid w:val="008F09C6"/>
    <w:rsid w:val="009462D6"/>
    <w:rsid w:val="009C1AA0"/>
    <w:rsid w:val="00A33ADD"/>
    <w:rsid w:val="00A52301"/>
    <w:rsid w:val="00A808C6"/>
    <w:rsid w:val="00B347F2"/>
    <w:rsid w:val="00B36D9D"/>
    <w:rsid w:val="00B44945"/>
    <w:rsid w:val="00B62ACF"/>
    <w:rsid w:val="00B83A43"/>
    <w:rsid w:val="00B93B10"/>
    <w:rsid w:val="00BE06E4"/>
    <w:rsid w:val="00C13693"/>
    <w:rsid w:val="00C664C0"/>
    <w:rsid w:val="00CA1231"/>
    <w:rsid w:val="00CA7B62"/>
    <w:rsid w:val="00CB6522"/>
    <w:rsid w:val="00CD23A1"/>
    <w:rsid w:val="00D222A1"/>
    <w:rsid w:val="00D31C35"/>
    <w:rsid w:val="00D44C56"/>
    <w:rsid w:val="00DA47A1"/>
    <w:rsid w:val="00DC6C7E"/>
    <w:rsid w:val="00E97713"/>
    <w:rsid w:val="00ED1B3A"/>
    <w:rsid w:val="00ED2E8F"/>
    <w:rsid w:val="00F37179"/>
    <w:rsid w:val="00FA3211"/>
    <w:rsid w:val="00FC0C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6E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A3211"/>
    <w:pPr>
      <w:ind w:left="720"/>
      <w:contextualSpacing/>
    </w:pPr>
  </w:style>
  <w:style w:type="paragraph" w:styleId="FootnoteText">
    <w:name w:val="footnote text"/>
    <w:basedOn w:val="Normal"/>
    <w:link w:val="FootnoteTextChar"/>
    <w:uiPriority w:val="99"/>
    <w:semiHidden/>
    <w:rsid w:val="00287F7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87F71"/>
    <w:rPr>
      <w:rFonts w:cs="Times New Roman"/>
      <w:sz w:val="20"/>
      <w:szCs w:val="20"/>
    </w:rPr>
  </w:style>
  <w:style w:type="character" w:styleId="FootnoteReference">
    <w:name w:val="footnote reference"/>
    <w:basedOn w:val="DefaultParagraphFont"/>
    <w:uiPriority w:val="99"/>
    <w:semiHidden/>
    <w:rsid w:val="00287F71"/>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3</Pages>
  <Words>1240</Words>
  <Characters>7072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Oam</cp:lastModifiedBy>
  <cp:revision>11</cp:revision>
  <dcterms:created xsi:type="dcterms:W3CDTF">2016-09-21T04:37:00Z</dcterms:created>
  <dcterms:modified xsi:type="dcterms:W3CDTF">2016-09-22T12:21:00Z</dcterms:modified>
</cp:coreProperties>
</file>